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084" w:firstLineChars="300"/>
        <w:rPr>
          <w:rFonts w:hint="eastAsia" w:ascii="宋体" w:hAnsi="宋体" w:cs="宋体"/>
          <w:b/>
          <w:sz w:val="28"/>
          <w:szCs w:val="28"/>
          <w:lang w:val="zh-CN"/>
        </w:rPr>
      </w:pPr>
      <w:r>
        <w:rPr>
          <w:rFonts w:hint="eastAsia" w:ascii="宋体" w:hAnsi="宋体" w:cs="宋体"/>
          <w:b/>
          <w:sz w:val="36"/>
          <w:szCs w:val="36"/>
        </w:rPr>
        <w:t>项目名称：</w:t>
      </w:r>
      <w:r>
        <w:rPr>
          <w:rFonts w:hint="eastAsia" w:ascii="宋体" w:hAnsi="宋体" w:cs="宋体"/>
          <w:b/>
          <w:sz w:val="36"/>
          <w:szCs w:val="36"/>
          <w:lang w:eastAsia="zh-CN"/>
        </w:rPr>
        <w:t>全胸震荡排痰仪及高频电刀</w:t>
      </w:r>
      <w:r>
        <w:rPr>
          <w:rFonts w:hint="eastAsia" w:ascii="宋体" w:hAnsi="宋体" w:cs="宋体"/>
          <w:b/>
          <w:sz w:val="36"/>
          <w:szCs w:val="36"/>
          <w:lang w:val="zh-CN"/>
        </w:rPr>
        <w:t>采购项目</w:t>
      </w:r>
    </w:p>
    <w:p>
      <w:pPr>
        <w:spacing w:line="480" w:lineRule="auto"/>
        <w:ind w:firstLine="1084" w:firstLineChars="3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napToGrid w:val="0"/>
        <w:jc w:val="both"/>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五</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ind w:firstLine="2881" w:firstLineChars="900"/>
        <w:jc w:val="both"/>
        <w:rPr>
          <w:rFonts w:ascii="宋体" w:hAnsi="宋体" w:cs="宋体"/>
        </w:rPr>
      </w:pPr>
      <w:bookmarkStart w:id="0" w:name="_Toc528493163"/>
      <w:bookmarkStart w:id="1" w:name="_Toc528493130"/>
      <w:bookmarkStart w:id="2" w:name="_Toc528494262"/>
      <w:bookmarkStart w:id="3" w:name="_Toc528493563"/>
      <w:bookmarkStart w:id="4" w:name="_Toc528493082"/>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420" w:lineRule="exact"/>
        <w:ind w:firstLine="480" w:firstLineChars="200"/>
        <w:rPr>
          <w:rFonts w:hint="eastAsia" w:ascii="宋体" w:hAnsi="宋体" w:cs="宋体"/>
          <w:sz w:val="24"/>
          <w:lang w:val="zh-CN"/>
        </w:rPr>
      </w:pPr>
      <w:bookmarkStart w:id="5" w:name="_Toc28359080"/>
      <w:bookmarkStart w:id="6" w:name="_Toc35393791"/>
      <w:bookmarkStart w:id="7" w:name="_Toc35393622"/>
      <w:bookmarkStart w:id="8" w:name="_Toc28359003"/>
    </w:p>
    <w:p>
      <w:pPr>
        <w:spacing w:line="420" w:lineRule="exact"/>
        <w:ind w:firstLine="480" w:firstLineChars="200"/>
        <w:rPr>
          <w:rFonts w:ascii="宋体" w:cs="宋体"/>
          <w:sz w:val="24"/>
          <w:lang w:val="zh-CN"/>
        </w:rPr>
      </w:pPr>
      <w:r>
        <w:rPr>
          <w:rFonts w:hint="eastAsia" w:ascii="宋体" w:hAnsi="宋体" w:cs="宋体"/>
          <w:sz w:val="24"/>
          <w:lang w:val="zh-CN"/>
        </w:rPr>
        <w:t>根据鄂东医疗集团市妇幼保健院的需求，就全胸震荡排痰仪及高频电刀采购项目以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478066"/>
      <w:bookmarkStart w:id="10" w:name="_Hlk55547162"/>
      <w:r>
        <w:rPr>
          <w:rFonts w:ascii="宋体" w:hAnsi="宋体" w:cs="宋体"/>
          <w:sz w:val="24"/>
        </w:rPr>
        <w:t>1.</w:t>
      </w:r>
      <w:r>
        <w:rPr>
          <w:rFonts w:hint="eastAsia" w:ascii="宋体" w:hAnsi="宋体" w:cs="宋体"/>
          <w:sz w:val="24"/>
        </w:rPr>
        <w:t>项目名称：</w:t>
      </w:r>
      <w:r>
        <w:rPr>
          <w:rFonts w:hint="eastAsia" w:ascii="宋体" w:hAnsi="宋体" w:cs="宋体"/>
          <w:sz w:val="24"/>
          <w:lang w:val="zh-CN"/>
        </w:rPr>
        <w:t>全胸震荡排痰仪及高频电刀采购项目；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default" w:ascii="宋体" w:hAnsi="宋体" w:eastAsia="宋体" w:cs="宋体"/>
          <w:b/>
          <w:bCs/>
          <w:color w:val="000000"/>
          <w:sz w:val="24"/>
          <w:vertAlign w:val="baseline"/>
          <w:lang w:val="en-US" w:eastAsia="zh-CN"/>
        </w:rPr>
      </w:pPr>
      <w:r>
        <w:rPr>
          <w:rFonts w:ascii="宋体" w:hAnsi="宋体" w:cs="宋体"/>
          <w:color w:val="000000"/>
          <w:sz w:val="24"/>
        </w:rPr>
        <w:t>3.</w:t>
      </w:r>
      <w:r>
        <w:rPr>
          <w:rFonts w:hint="eastAsia" w:ascii="宋体" w:hAnsi="宋体" w:cs="宋体"/>
          <w:color w:val="000000"/>
          <w:sz w:val="24"/>
          <w:lang w:eastAsia="zh-CN"/>
        </w:rPr>
        <w:t>简要采购需求</w:t>
      </w:r>
      <w:r>
        <w:rPr>
          <w:rFonts w:hint="eastAsia" w:ascii="宋体" w:hAnsi="宋体" w:cs="宋体"/>
          <w:color w:val="000000"/>
          <w:sz w:val="24"/>
        </w:rPr>
        <w:t>：</w:t>
      </w:r>
      <w:bookmarkEnd w:id="5"/>
      <w:bookmarkEnd w:id="6"/>
      <w:bookmarkEnd w:id="7"/>
      <w:bookmarkEnd w:id="8"/>
      <w:bookmarkEnd w:id="9"/>
      <w:bookmarkEnd w:id="10"/>
      <w:bookmarkStart w:id="11" w:name="_Toc35393792"/>
      <w:bookmarkStart w:id="12" w:name="_Toc28359004"/>
      <w:bookmarkStart w:id="13" w:name="_Toc28359081"/>
      <w:bookmarkStart w:id="14" w:name="_Toc35393623"/>
    </w:p>
    <w:tbl>
      <w:tblPr>
        <w:tblStyle w:val="15"/>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937"/>
        <w:gridCol w:w="917"/>
        <w:gridCol w:w="908"/>
        <w:gridCol w:w="2117"/>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9"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包号</w:t>
            </w:r>
          </w:p>
        </w:tc>
        <w:tc>
          <w:tcPr>
            <w:tcW w:w="293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包组名称（采购内容）</w:t>
            </w:r>
          </w:p>
        </w:tc>
        <w:tc>
          <w:tcPr>
            <w:tcW w:w="91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单位</w:t>
            </w:r>
          </w:p>
        </w:tc>
        <w:tc>
          <w:tcPr>
            <w:tcW w:w="908"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数量</w:t>
            </w:r>
          </w:p>
        </w:tc>
        <w:tc>
          <w:tcPr>
            <w:tcW w:w="2117"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预算金额（万元）</w:t>
            </w:r>
          </w:p>
        </w:tc>
        <w:tc>
          <w:tcPr>
            <w:tcW w:w="1226"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w:t>
            </w:r>
          </w:p>
        </w:tc>
        <w:tc>
          <w:tcPr>
            <w:tcW w:w="293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sz w:val="24"/>
                <w:lang w:val="zh-CN"/>
              </w:rPr>
              <w:t>全胸震荡排痰仪</w:t>
            </w:r>
          </w:p>
        </w:tc>
        <w:tc>
          <w:tcPr>
            <w:tcW w:w="91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套</w:t>
            </w:r>
          </w:p>
        </w:tc>
        <w:tc>
          <w:tcPr>
            <w:tcW w:w="908"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w:t>
            </w:r>
          </w:p>
        </w:tc>
        <w:tc>
          <w:tcPr>
            <w:tcW w:w="2117"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2.5</w:t>
            </w:r>
          </w:p>
        </w:tc>
        <w:tc>
          <w:tcPr>
            <w:tcW w:w="1226" w:type="dxa"/>
            <w:vAlign w:val="center"/>
          </w:tcPr>
          <w:p>
            <w:pPr>
              <w:spacing w:line="420" w:lineRule="exact"/>
              <w:jc w:val="center"/>
              <w:rPr>
                <w:rFonts w:hint="eastAsia" w:ascii="宋体" w:hAnsi="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2</w:t>
            </w:r>
          </w:p>
        </w:tc>
        <w:tc>
          <w:tcPr>
            <w:tcW w:w="293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sz w:val="24"/>
                <w:lang w:val="zh-CN"/>
              </w:rPr>
              <w:t>高频电刀</w:t>
            </w:r>
          </w:p>
        </w:tc>
        <w:tc>
          <w:tcPr>
            <w:tcW w:w="91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套</w:t>
            </w:r>
          </w:p>
        </w:tc>
        <w:tc>
          <w:tcPr>
            <w:tcW w:w="908"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w:t>
            </w:r>
          </w:p>
        </w:tc>
        <w:tc>
          <w:tcPr>
            <w:tcW w:w="2117"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9</w:t>
            </w:r>
          </w:p>
        </w:tc>
        <w:tc>
          <w:tcPr>
            <w:tcW w:w="1226" w:type="dxa"/>
            <w:vAlign w:val="center"/>
          </w:tcPr>
          <w:p>
            <w:pPr>
              <w:spacing w:line="420" w:lineRule="exact"/>
              <w:jc w:val="center"/>
              <w:rPr>
                <w:rFonts w:hint="eastAsia" w:ascii="宋体" w:hAnsi="宋体" w:cs="宋体"/>
                <w:b/>
                <w:bCs/>
                <w:color w:val="000000"/>
                <w:sz w:val="21"/>
                <w:szCs w:val="21"/>
                <w:vertAlign w:val="baseline"/>
                <w:lang w:val="en-US" w:eastAsia="zh-CN"/>
              </w:rPr>
            </w:pPr>
          </w:p>
        </w:tc>
      </w:tr>
    </w:tbl>
    <w:p>
      <w:pPr>
        <w:spacing w:line="42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lang w:eastAsia="zh-CN"/>
        </w:rPr>
        <w:t>注明：报价超过预算金额视为无效投标；</w:t>
      </w:r>
    </w:p>
    <w:p>
      <w:pPr>
        <w:spacing w:line="420" w:lineRule="exact"/>
        <w:rPr>
          <w:rFonts w:ascii="宋体" w:hAnsi="宋体" w:cs="宋体"/>
          <w:color w:val="000000"/>
          <w:sz w:val="24"/>
        </w:rPr>
      </w:pPr>
      <w:r>
        <w:rPr>
          <w:rFonts w:hint="eastAsia" w:ascii="宋体" w:hAnsi="宋体" w:cs="宋体"/>
          <w:b/>
          <w:bCs/>
          <w:color w:val="000000"/>
          <w:sz w:val="24"/>
        </w:rPr>
        <w:t>二、供应商资格要求：</w:t>
      </w:r>
    </w:p>
    <w:p>
      <w:pPr>
        <w:snapToGrid w:val="0"/>
        <w:spacing w:line="420" w:lineRule="exact"/>
        <w:ind w:firstLine="504" w:firstLineChars="210"/>
        <w:rPr>
          <w:rFonts w:hint="eastAsia" w:ascii="宋体" w:hAnsi="宋体" w:eastAsia="宋体" w:cs="宋体"/>
          <w:color w:val="000000"/>
          <w:sz w:val="24"/>
          <w:lang w:eastAsia="zh-CN"/>
        </w:rPr>
      </w:pPr>
      <w:r>
        <w:rPr>
          <w:rFonts w:hint="eastAsia" w:ascii="宋体" w:hAnsi="宋体" w:cs="宋体"/>
          <w:color w:val="000000"/>
          <w:sz w:val="24"/>
          <w:lang w:val="en-US" w:eastAsia="zh-CN"/>
        </w:rPr>
        <w:t>1</w:t>
      </w:r>
      <w:r>
        <w:rPr>
          <w:rFonts w:hint="eastAsia" w:ascii="宋体" w:hAnsi="宋体" w:cs="宋体"/>
          <w:color w:val="000000"/>
          <w:sz w:val="24"/>
        </w:rPr>
        <w:t>.供应商须具有独立法人资格，持有有效期内的营业执照、税务登记证、组织机构代码证（三证合一只需提供营业执照）</w:t>
      </w:r>
      <w:r>
        <w:rPr>
          <w:rFonts w:hint="eastAsia" w:ascii="宋体" w:hAnsi="宋体" w:cs="宋体"/>
          <w:color w:val="000000"/>
          <w:sz w:val="24"/>
          <w:lang w:eastAsia="zh-CN"/>
        </w:rPr>
        <w:t>；</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2.投标人为生产企业的需提供医疗器械生产许可证；投标人为代理商的需提供医疗器械经营许可证或备案证；所投产品需提供医疗器械产品注册证或备案证，进口产品需提供制造商的授权书；</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3.供应商必须具有良好的商业信誉和健全的财务会计制度；</w:t>
      </w:r>
    </w:p>
    <w:p>
      <w:pPr>
        <w:snapToGrid w:val="0"/>
        <w:spacing w:line="420" w:lineRule="exact"/>
        <w:ind w:firstLine="504" w:firstLineChars="210"/>
        <w:rPr>
          <w:rFonts w:hint="default" w:ascii="宋体" w:hAnsi="宋体" w:cs="宋体"/>
          <w:color w:val="000000"/>
          <w:sz w:val="24"/>
          <w:lang w:val="en-US" w:eastAsia="zh-CN"/>
        </w:rPr>
      </w:pPr>
      <w:r>
        <w:rPr>
          <w:rFonts w:hint="eastAsia" w:ascii="宋体" w:hAnsi="宋体" w:cs="宋体"/>
          <w:color w:val="000000"/>
          <w:sz w:val="24"/>
          <w:lang w:val="en-US" w:eastAsia="zh-CN"/>
        </w:rPr>
        <w:t>4.近三年在经营活动中没有重大违法记录（提供近三年无重大违法记录声明）；</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5.投标人须提供“信用中国”网站(www.creditchina.gov.cn)失信被执行人、重大税收违法案件当事人名单、政府采购严重违法失信行为记录名单和“中国政府采购”网站（www.ccgp.gov.cn）政府采购严重违法失信行为记录名单中的查询截图（以招标公告发出后查询结果为准）；</w:t>
      </w:r>
    </w:p>
    <w:p>
      <w:pPr>
        <w:snapToGrid w:val="0"/>
        <w:spacing w:line="420" w:lineRule="exact"/>
        <w:ind w:firstLine="504" w:firstLineChars="210"/>
        <w:rPr>
          <w:rFonts w:ascii="宋体" w:hAnsi="宋体" w:cs="宋体"/>
          <w:sz w:val="24"/>
          <w:lang w:val="zh-CN"/>
        </w:rPr>
      </w:pPr>
      <w:r>
        <w:rPr>
          <w:rFonts w:hint="eastAsia" w:ascii="宋体" w:hAnsi="宋体" w:cs="宋体"/>
          <w:color w:val="000000"/>
          <w:sz w:val="24"/>
          <w:lang w:val="en-US" w:eastAsia="zh-CN"/>
        </w:rPr>
        <w:t>6</w:t>
      </w:r>
      <w:r>
        <w:rPr>
          <w:rFonts w:hint="eastAsia" w:ascii="宋体" w:hAnsi="宋体" w:cs="宋体"/>
          <w:color w:val="000000"/>
          <w:sz w:val="24"/>
        </w:rPr>
        <w:t>.本项目不接受联合体参与</w:t>
      </w:r>
      <w:r>
        <w:rPr>
          <w:rFonts w:hint="eastAsia" w:ascii="宋体" w:hAnsi="宋体" w:cs="宋体"/>
          <w:color w:val="000000"/>
          <w:sz w:val="24"/>
          <w:lang w:eastAsia="zh-CN"/>
        </w:rPr>
        <w:t>磋商</w:t>
      </w:r>
      <w:r>
        <w:rPr>
          <w:rFonts w:hint="eastAsia" w:ascii="宋体" w:hAnsi="宋体" w:cs="宋体"/>
          <w:color w:val="000000"/>
          <w:sz w:val="24"/>
        </w:rPr>
        <w:t>。</w:t>
      </w:r>
    </w:p>
    <w:bookmarkEnd w:id="11"/>
    <w:bookmarkEnd w:id="12"/>
    <w:bookmarkEnd w:id="13"/>
    <w:bookmarkEnd w:id="14"/>
    <w:p>
      <w:pPr>
        <w:spacing w:line="420" w:lineRule="exact"/>
        <w:rPr>
          <w:rFonts w:ascii="宋体" w:cs="宋体"/>
          <w:b/>
          <w:bCs/>
          <w:sz w:val="24"/>
        </w:rPr>
      </w:pPr>
      <w:bookmarkStart w:id="15" w:name="_Toc28359007"/>
      <w:bookmarkStart w:id="16" w:name="_Toc35393794"/>
      <w:bookmarkStart w:id="17" w:name="_Toc28359084"/>
      <w:bookmarkStart w:id="18" w:name="_Toc35393625"/>
      <w:bookmarkStart w:id="19" w:name="_Toc528494275"/>
      <w:bookmarkStart w:id="20" w:name="_Toc528493083"/>
      <w:bookmarkStart w:id="21" w:name="_Toc528493164"/>
      <w:bookmarkStart w:id="22" w:name="_Toc528493576"/>
      <w:bookmarkStart w:id="23" w:name="_Toc528493131"/>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报名时间：2022年6月8日-2022年6月14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cs="宋体"/>
          <w:color w:val="000000"/>
          <w:sz w:val="24"/>
          <w:lang w:val="en-US" w:eastAsia="zh-CN"/>
        </w:rPr>
        <w:t>0,节假日除外）。</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2、递交标书及开标时间：2022年6月15日下午16:00；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w:t>
      </w:r>
      <w:bookmarkStart w:id="107" w:name="_GoBack"/>
      <w:bookmarkEnd w:id="107"/>
      <w:r>
        <w:rPr>
          <w:rFonts w:hint="eastAsia" w:ascii="宋体" w:hAnsi="宋体" w:eastAsia="宋体" w:cs="宋体"/>
          <w:color w:val="000000"/>
          <w:sz w:val="24"/>
          <w:lang w:val="en-US" w:eastAsia="zh-CN"/>
        </w:rPr>
        <w:t>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6</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日</w:t>
      </w:r>
    </w:p>
    <w:bookmarkEnd w:id="15"/>
    <w:bookmarkEnd w:id="16"/>
    <w:bookmarkEnd w:id="17"/>
    <w:bookmarkEnd w:id="18"/>
    <w:p>
      <w:pPr>
        <w:pStyle w:val="13"/>
        <w:rPr>
          <w:rFonts w:ascii="宋体" w:hAnsi="宋体" w:cs="宋体"/>
        </w:rPr>
      </w:pPr>
    </w:p>
    <w:p>
      <w:pPr>
        <w:pStyle w:val="13"/>
        <w:rPr>
          <w:rFonts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7"/>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9"/>
          <w:rFonts w:ascii="宋体" w:hAnsi="宋体" w:cs="宋体"/>
          <w:sz w:val="24"/>
          <w:szCs w:val="24"/>
        </w:rPr>
      </w:pPr>
      <w:r>
        <w:rPr>
          <w:rFonts w:hint="eastAsia" w:ascii="宋体" w:hAnsi="宋体" w:cs="宋体"/>
          <w:b/>
          <w:bCs/>
          <w:sz w:val="24"/>
          <w:szCs w:val="24"/>
        </w:rPr>
        <w:t xml:space="preserve">2. </w:t>
      </w:r>
      <w:r>
        <w:rPr>
          <w:rStyle w:val="19"/>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9"/>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9"/>
          <w:rFonts w:hint="eastAsia" w:hAnsi="宋体" w:cs="宋体"/>
          <w:sz w:val="24"/>
          <w:szCs w:val="24"/>
        </w:rPr>
        <w:t>二、磋商文件</w:t>
      </w:r>
      <w:bookmarkEnd w:id="25"/>
      <w:r>
        <w:rPr>
          <w:rStyle w:val="19"/>
          <w:rFonts w:hint="eastAsia" w:hAnsi="宋体" w:cs="宋体"/>
          <w:sz w:val="24"/>
          <w:szCs w:val="24"/>
        </w:rPr>
        <w:t>的澄清与修改</w:t>
      </w:r>
    </w:p>
    <w:p>
      <w:pPr>
        <w:pStyle w:val="7"/>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9"/>
          <w:rFonts w:ascii="宋体" w:hAnsi="宋体" w:cs="宋体"/>
          <w:sz w:val="24"/>
          <w:szCs w:val="24"/>
        </w:rPr>
      </w:pPr>
      <w:bookmarkStart w:id="26" w:name="_Toc528494278"/>
      <w:r>
        <w:rPr>
          <w:rStyle w:val="19"/>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9"/>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9"/>
          <w:rFonts w:ascii="宋体" w:hAnsi="宋体" w:cs="宋体"/>
          <w:sz w:val="24"/>
          <w:szCs w:val="24"/>
        </w:rPr>
      </w:pPr>
      <w:bookmarkStart w:id="27" w:name="_Toc528493577"/>
      <w:bookmarkStart w:id="28" w:name="_Toc528493084"/>
      <w:bookmarkStart w:id="29" w:name="_Toc528493165"/>
      <w:bookmarkStart w:id="30" w:name="_Toc528493132"/>
      <w:bookmarkStart w:id="31" w:name="_Toc528494280"/>
      <w:r>
        <w:rPr>
          <w:rStyle w:val="19"/>
          <w:rFonts w:hint="eastAsia" w:ascii="宋体" w:hAnsi="宋体" w:cs="宋体"/>
          <w:sz w:val="24"/>
          <w:szCs w:val="24"/>
        </w:rPr>
        <w:t>2．磋商报价要求</w:t>
      </w:r>
      <w:bookmarkEnd w:id="27"/>
      <w:bookmarkEnd w:id="28"/>
      <w:bookmarkEnd w:id="29"/>
      <w:bookmarkEnd w:id="30"/>
      <w:bookmarkEnd w:id="31"/>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9"/>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pPr>
        <w:pStyle w:val="2"/>
        <w:rPr>
          <w:rFonts w:hint="default" w:ascii="宋体" w:hAnsi="宋体" w:eastAsia="宋体" w:cs="宋体"/>
          <w:bCs/>
          <w:sz w:val="24"/>
          <w:lang w:val="en-US" w:eastAsia="zh-CN"/>
        </w:rPr>
      </w:pPr>
      <w:r>
        <w:rPr>
          <w:rFonts w:hint="eastAsia" w:cs="宋体"/>
          <w:bCs/>
          <w:sz w:val="24"/>
          <w:lang w:val="en-US" w:eastAsia="zh-CN"/>
        </w:rPr>
        <w:t xml:space="preserve">  </w:t>
      </w:r>
      <w:r>
        <w:rPr>
          <w:rFonts w:hint="eastAsia" w:cs="宋体"/>
          <w:b/>
          <w:bCs w:val="0"/>
          <w:sz w:val="24"/>
          <w:lang w:val="en-US" w:eastAsia="zh-CN"/>
        </w:rPr>
        <w:t xml:space="preserve"> </w:t>
      </w:r>
      <w:r>
        <w:rPr>
          <w:rFonts w:hint="eastAsia" w:ascii="宋体" w:hAnsi="宋体" w:eastAsia="宋体" w:cs="宋体"/>
          <w:b/>
          <w:bCs w:val="0"/>
          <w:color w:val="auto"/>
          <w:kern w:val="2"/>
          <w:sz w:val="24"/>
          <w:szCs w:val="20"/>
          <w:lang w:val="en-US" w:eastAsia="zh-CN" w:bidi="ar-SA"/>
        </w:rPr>
        <w:t xml:space="preserve"> 13</w:t>
      </w:r>
      <w:r>
        <w:rPr>
          <w:rFonts w:hint="eastAsia" w:cs="宋体"/>
          <w:b/>
          <w:bCs w:val="0"/>
          <w:color w:val="auto"/>
          <w:kern w:val="2"/>
          <w:sz w:val="24"/>
          <w:szCs w:val="20"/>
          <w:lang w:val="en-US" w:eastAsia="zh-CN" w:bidi="ar-SA"/>
        </w:rPr>
        <w:t xml:space="preserve"> </w:t>
      </w:r>
      <w:r>
        <w:rPr>
          <w:rFonts w:hint="eastAsia" w:ascii="宋体" w:hAnsi="宋体" w:eastAsia="宋体" w:cs="宋体"/>
          <w:b/>
          <w:bCs w:val="0"/>
          <w:color w:val="auto"/>
          <w:kern w:val="2"/>
          <w:sz w:val="24"/>
          <w:szCs w:val="20"/>
          <w:lang w:val="en-US" w:eastAsia="zh-CN" w:bidi="ar-SA"/>
        </w:rPr>
        <w:t>资格审查内容及对应资料</w:t>
      </w:r>
      <w:r>
        <w:rPr>
          <w:rFonts w:hint="eastAsia" w:cs="宋体"/>
          <w:b/>
          <w:bCs w:val="0"/>
          <w:color w:val="auto"/>
          <w:kern w:val="2"/>
          <w:sz w:val="24"/>
          <w:szCs w:val="20"/>
          <w:lang w:val="en-US" w:eastAsia="zh-CN" w:bidi="ar-SA"/>
        </w:rPr>
        <w:t>：</w:t>
      </w:r>
    </w:p>
    <w:p>
      <w:pPr>
        <w:rPr>
          <w:rFonts w:hint="default" w:ascii="宋体" w:hAnsi="宋体" w:eastAsia="宋体" w:cs="宋体"/>
          <w:bCs/>
          <w:sz w:val="24"/>
          <w:lang w:val="en-US" w:eastAsia="zh-CN"/>
        </w:rPr>
      </w:pPr>
      <w:r>
        <w:rPr>
          <w:rFonts w:hint="eastAsia" w:ascii="宋体" w:hAnsi="宋体" w:cs="宋体"/>
          <w:bCs/>
          <w:sz w:val="24"/>
          <w:lang w:val="en-US" w:eastAsia="zh-CN"/>
        </w:rPr>
        <w:t xml:space="preserve">      </w:t>
      </w:r>
    </w:p>
    <w:tbl>
      <w:tblPr>
        <w:tblStyle w:val="1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6369"/>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795" w:type="dxa"/>
            <w:noWrap w:val="0"/>
            <w:vAlign w:val="center"/>
          </w:tcPr>
          <w:p>
            <w:pPr>
              <w:spacing w:line="240" w:lineRule="auto"/>
              <w:rPr>
                <w:rFonts w:hint="eastAsia" w:ascii="宋体" w:hAnsi="宋体" w:eastAsia="宋体" w:cs="宋体"/>
                <w:bCs/>
                <w:sz w:val="24"/>
              </w:rPr>
            </w:pPr>
            <w:r>
              <w:rPr>
                <w:rFonts w:hint="eastAsia" w:ascii="宋体" w:hAnsi="宋体" w:eastAsia="宋体" w:cs="宋体"/>
                <w:bCs/>
                <w:sz w:val="24"/>
              </w:rPr>
              <w:t>序号</w:t>
            </w:r>
          </w:p>
        </w:tc>
        <w:tc>
          <w:tcPr>
            <w:tcW w:w="6369" w:type="dxa"/>
            <w:noWrap w:val="0"/>
            <w:vAlign w:val="center"/>
          </w:tcPr>
          <w:p>
            <w:pPr>
              <w:spacing w:line="240" w:lineRule="auto"/>
              <w:ind w:firstLine="480" w:firstLineChars="200"/>
              <w:jc w:val="center"/>
              <w:rPr>
                <w:rFonts w:hint="eastAsia" w:ascii="宋体" w:hAnsi="宋体" w:eastAsia="宋体" w:cs="宋体"/>
                <w:bCs/>
                <w:sz w:val="24"/>
              </w:rPr>
            </w:pPr>
            <w:r>
              <w:rPr>
                <w:rFonts w:hint="eastAsia" w:ascii="宋体" w:hAnsi="宋体" w:eastAsia="宋体" w:cs="宋体"/>
                <w:bCs/>
                <w:sz w:val="24"/>
              </w:rPr>
              <w:t>资格审查因数</w:t>
            </w:r>
          </w:p>
        </w:tc>
        <w:tc>
          <w:tcPr>
            <w:tcW w:w="2514" w:type="dxa"/>
            <w:noWrap w:val="0"/>
            <w:vAlign w:val="center"/>
          </w:tcPr>
          <w:p>
            <w:pPr>
              <w:spacing w:line="240" w:lineRule="auto"/>
              <w:ind w:firstLine="240" w:firstLineChars="100"/>
              <w:rPr>
                <w:rFonts w:hint="eastAsia" w:ascii="宋体" w:hAnsi="宋体" w:eastAsia="宋体" w:cs="宋体"/>
                <w:bCs/>
                <w:sz w:val="24"/>
              </w:rPr>
            </w:pPr>
            <w:r>
              <w:rPr>
                <w:rFonts w:hint="eastAsia" w:ascii="宋体" w:hAnsi="宋体" w:eastAsia="宋体" w:cs="宋体"/>
                <w:bCs/>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1</w:t>
            </w:r>
          </w:p>
        </w:tc>
        <w:tc>
          <w:tcPr>
            <w:tcW w:w="6369" w:type="dxa"/>
            <w:noWrap w:val="0"/>
            <w:vAlign w:val="center"/>
          </w:tcPr>
          <w:p>
            <w:pPr>
              <w:spacing w:line="240" w:lineRule="auto"/>
              <w:rPr>
                <w:rFonts w:hint="eastAsia" w:ascii="宋体" w:hAnsi="宋体" w:eastAsia="宋体" w:cs="宋体"/>
                <w:bCs/>
                <w:sz w:val="24"/>
                <w:lang w:val="hr-HR" w:eastAsia="zh-CN"/>
              </w:rPr>
            </w:pPr>
            <w:r>
              <w:rPr>
                <w:rFonts w:hint="eastAsia" w:ascii="宋体" w:hAnsi="宋体" w:eastAsia="宋体" w:cs="宋体"/>
                <w:bCs/>
                <w:sz w:val="24"/>
              </w:rPr>
              <w:t>供应商须具有独立法人资格，持有有效期内的营业执照、税务登记证、组织机构代码证（三证合一只需提供营业执照）</w:t>
            </w:r>
          </w:p>
        </w:tc>
        <w:tc>
          <w:tcPr>
            <w:tcW w:w="2514"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2</w:t>
            </w:r>
          </w:p>
        </w:tc>
        <w:tc>
          <w:tcPr>
            <w:tcW w:w="6369" w:type="dxa"/>
            <w:noWrap w:val="0"/>
            <w:vAlign w:val="center"/>
          </w:tcPr>
          <w:p>
            <w:pPr>
              <w:spacing w:line="24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供应商必须是在“信用中国网”（www.creditchina.gov.cn）及中国政府采购网（www.ccgp.gov.cn）中未被列入失信被执行人</w:t>
            </w:r>
            <w:r>
              <w:rPr>
                <w:rFonts w:hint="eastAsia" w:ascii="宋体" w:hAnsi="宋体" w:eastAsia="宋体" w:cs="宋体"/>
                <w:bCs/>
                <w:sz w:val="24"/>
              </w:rPr>
              <w:t>、重大税收违法案件当事人名单、政府采购严重违法失信行为记录名单；（供应商须自公告发布之日 起自行在网上查询，并将查询结果截图加盖公章放入响应文件）</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cs="宋体"/>
                <w:bCs/>
                <w:sz w:val="24"/>
                <w:lang w:val="en-US" w:eastAsia="zh-CN"/>
              </w:rPr>
              <w:t>3</w:t>
            </w:r>
          </w:p>
        </w:tc>
        <w:tc>
          <w:tcPr>
            <w:tcW w:w="6369" w:type="dxa"/>
            <w:noWrap w:val="0"/>
            <w:vAlign w:val="center"/>
          </w:tcPr>
          <w:p>
            <w:pPr>
              <w:spacing w:line="240" w:lineRule="auto"/>
              <w:rPr>
                <w:rFonts w:hint="eastAsia" w:ascii="宋体" w:hAnsi="宋体" w:eastAsia="宋体" w:cs="宋体"/>
                <w:bCs/>
                <w:sz w:val="24"/>
                <w:lang w:val="hr-HR"/>
              </w:rPr>
            </w:pPr>
            <w:r>
              <w:rPr>
                <w:rFonts w:hint="eastAsia" w:ascii="宋体" w:hAnsi="宋体" w:cs="宋体"/>
                <w:color w:val="000000"/>
                <w:sz w:val="24"/>
                <w:lang w:val="en-US" w:eastAsia="zh-CN"/>
              </w:rPr>
              <w:t>供应商必须具有良好的商业信誉和健全的财务会计制度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cs="宋体"/>
                <w:bCs/>
                <w:sz w:val="24"/>
                <w:lang w:val="en-US" w:eastAsia="zh-CN"/>
              </w:rPr>
              <w:t>4</w:t>
            </w:r>
          </w:p>
        </w:tc>
        <w:tc>
          <w:tcPr>
            <w:tcW w:w="6369" w:type="dxa"/>
            <w:noWrap w:val="0"/>
            <w:vAlign w:val="center"/>
          </w:tcPr>
          <w:p>
            <w:pPr>
              <w:spacing w:line="240" w:lineRule="auto"/>
              <w:ind w:firstLine="480" w:firstLineChars="200"/>
              <w:rPr>
                <w:rFonts w:hint="eastAsia" w:ascii="宋体" w:hAnsi="宋体" w:eastAsia="宋体" w:cs="宋体"/>
                <w:bCs/>
                <w:sz w:val="24"/>
                <w:lang w:val="hr-HR" w:eastAsia="zh-CN"/>
              </w:rPr>
            </w:pPr>
            <w:r>
              <w:rPr>
                <w:rFonts w:hint="eastAsia" w:ascii="宋体" w:hAnsi="宋体" w:eastAsia="宋体" w:cs="宋体"/>
                <w:bCs/>
                <w:sz w:val="24"/>
                <w:lang w:val="hr-HR"/>
              </w:rPr>
              <w:t>投标人须提供参加本次采购活动前三年内，在经营活动中没有重大违法记录（是指因违法经营受到刑事处罚或责令停产停业、吊销许可证或执照、较大数额罚款等行政处罚）的书面声明</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cs="宋体"/>
                <w:bCs/>
                <w:sz w:val="24"/>
                <w:lang w:val="en-US" w:eastAsia="zh-CN"/>
              </w:rPr>
              <w:t>5</w:t>
            </w:r>
          </w:p>
        </w:tc>
        <w:tc>
          <w:tcPr>
            <w:tcW w:w="6369" w:type="dxa"/>
            <w:noWrap w:val="0"/>
            <w:vAlign w:val="center"/>
          </w:tcPr>
          <w:p>
            <w:pPr>
              <w:spacing w:line="240" w:lineRule="auto"/>
              <w:ind w:firstLine="480" w:firstLineChars="200"/>
              <w:rPr>
                <w:rFonts w:hint="eastAsia" w:ascii="宋体" w:hAnsi="宋体" w:eastAsia="宋体" w:cs="宋体"/>
                <w:bCs/>
                <w:sz w:val="24"/>
                <w:lang w:val="hr-HR"/>
              </w:rPr>
            </w:pPr>
            <w:r>
              <w:rPr>
                <w:rFonts w:hint="eastAsia" w:ascii="宋体" w:hAnsi="宋体" w:cs="宋体"/>
                <w:color w:val="000000"/>
                <w:sz w:val="24"/>
              </w:rPr>
              <w:t>投标人为生产企业的需提供医疗器械生产许可证；投标人为代理商的需提供医疗器械经营许可证或备案证；所投产品需提供医疗器械产品注册证或备案证，进口产品需提供制造商的授权书。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cs="宋体"/>
                <w:bCs/>
                <w:sz w:val="24"/>
                <w:lang w:val="en-US" w:eastAsia="zh-CN"/>
              </w:rPr>
              <w:t>6</w:t>
            </w:r>
          </w:p>
        </w:tc>
        <w:tc>
          <w:tcPr>
            <w:tcW w:w="6369" w:type="dxa"/>
            <w:noWrap w:val="0"/>
            <w:vAlign w:val="center"/>
          </w:tcPr>
          <w:p>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按照磋商文件规定要求密封、签署、盖章的</w:t>
            </w:r>
          </w:p>
        </w:tc>
        <w:tc>
          <w:tcPr>
            <w:tcW w:w="2514" w:type="dxa"/>
            <w:noWrap w:val="0"/>
            <w:vAlign w:val="center"/>
          </w:tcPr>
          <w:p>
            <w:pPr>
              <w:widowControl/>
              <w:adjustRightInd w:val="0"/>
              <w:snapToGrid w:val="0"/>
              <w:jc w:val="left"/>
              <w:rPr>
                <w:rFonts w:hint="eastAsia" w:ascii="宋体" w:hAnsi="宋体" w:cs="宋体"/>
                <w:szCs w:val="21"/>
              </w:rPr>
            </w:pPr>
          </w:p>
        </w:tc>
      </w:tr>
    </w:tbl>
    <w:p>
      <w:pPr>
        <w:pStyle w:val="2"/>
        <w:rPr>
          <w:rFonts w:hint="eastAsia" w:ascii="宋体" w:hAnsi="宋体" w:cs="宋体"/>
          <w:bCs/>
          <w:sz w:val="24"/>
        </w:rPr>
      </w:pPr>
    </w:p>
    <w:p/>
    <w:p>
      <w:pPr>
        <w:spacing w:line="500" w:lineRule="exact"/>
        <w:rPr>
          <w:rStyle w:val="19"/>
          <w:rFonts w:ascii="宋体" w:hAnsi="宋体" w:cs="宋体"/>
          <w:sz w:val="24"/>
          <w:szCs w:val="24"/>
        </w:rPr>
      </w:pPr>
      <w:bookmarkStart w:id="32" w:name="_Toc528494284"/>
      <w:r>
        <w:rPr>
          <w:rStyle w:val="19"/>
          <w:rFonts w:hint="eastAsia" w:ascii="宋体" w:hAnsi="宋体" w:cs="宋体"/>
          <w:sz w:val="24"/>
          <w:szCs w:val="24"/>
        </w:rPr>
        <w:t>六、确定成交供应商办法</w:t>
      </w:r>
      <w:bookmarkEnd w:id="32"/>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2"/>
        <w:numPr>
          <w:ilvl w:val="0"/>
          <w:numId w:val="0"/>
        </w:numPr>
      </w:pPr>
    </w:p>
    <w:tbl>
      <w:tblPr>
        <w:tblStyle w:val="14"/>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15"/>
        <w:gridCol w:w="781"/>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1"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bookmarkStart w:id="34" w:name="_Toc528493579"/>
            <w:bookmarkStart w:id="35" w:name="_Toc528493086"/>
            <w:bookmarkStart w:id="36" w:name="_Toc528494285"/>
            <w:bookmarkStart w:id="37" w:name="_Toc528493167"/>
            <w:bookmarkStart w:id="38" w:name="_Toc528493134"/>
            <w:r>
              <w:rPr>
                <w:rFonts w:hint="eastAsia" w:ascii="宋体" w:hAnsi="宋体" w:eastAsia="宋体" w:cs="宋体"/>
                <w:snapToGrid/>
                <w:color w:val="000000"/>
                <w:kern w:val="0"/>
                <w:sz w:val="21"/>
                <w:szCs w:val="21"/>
                <w:highlight w:val="none"/>
              </w:rPr>
              <w:t>评审项目</w:t>
            </w:r>
          </w:p>
        </w:tc>
        <w:tc>
          <w:tcPr>
            <w:tcW w:w="1215"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评标分项</w:t>
            </w:r>
          </w:p>
        </w:tc>
        <w:tc>
          <w:tcPr>
            <w:tcW w:w="781"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项目分值</w:t>
            </w:r>
          </w:p>
        </w:tc>
        <w:tc>
          <w:tcPr>
            <w:tcW w:w="6324"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lang w:eastAsia="zh-CN"/>
              </w:rPr>
            </w:pPr>
            <w:r>
              <w:rPr>
                <w:rFonts w:hint="eastAsia" w:ascii="宋体" w:hAnsi="宋体" w:eastAsia="宋体" w:cs="宋体"/>
                <w:snapToGrid/>
                <w:color w:val="000000"/>
                <w:kern w:val="0"/>
                <w:sz w:val="21"/>
                <w:szCs w:val="21"/>
                <w:highlight w:val="none"/>
              </w:rPr>
              <w:t>评审标准</w:t>
            </w:r>
            <w:r>
              <w:rPr>
                <w:rFonts w:hint="eastAsia" w:ascii="宋体" w:hAnsi="宋体" w:eastAsia="宋体" w:cs="宋体"/>
                <w:snapToGrid/>
                <w:color w:val="000000"/>
                <w:kern w:val="0"/>
                <w:sz w:val="21"/>
                <w:szCs w:val="21"/>
                <w:highlight w:val="none"/>
                <w:lang w:eastAsia="zh-CN"/>
              </w:rPr>
              <w:t>（包</w:t>
            </w:r>
            <w:r>
              <w:rPr>
                <w:rFonts w:hint="eastAsia" w:ascii="宋体" w:hAnsi="宋体" w:cs="宋体"/>
                <w:snapToGrid/>
                <w:color w:val="000000"/>
                <w:kern w:val="0"/>
                <w:sz w:val="21"/>
                <w:szCs w:val="21"/>
                <w:highlight w:val="none"/>
                <w:lang w:eastAsia="zh-CN"/>
              </w:rPr>
              <w:t>一</w:t>
            </w:r>
            <w:r>
              <w:rPr>
                <w:rFonts w:hint="eastAsia" w:ascii="宋体" w:hAnsi="宋体" w:eastAsia="宋体" w:cs="宋体"/>
                <w:snapToGrid/>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21"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价格部分（30分）</w:t>
            </w:r>
          </w:p>
        </w:tc>
        <w:tc>
          <w:tcPr>
            <w:tcW w:w="1215"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报价得分</w:t>
            </w:r>
          </w:p>
        </w:tc>
        <w:tc>
          <w:tcPr>
            <w:tcW w:w="781" w:type="dxa"/>
            <w:noWrap w:val="0"/>
            <w:vAlign w:val="center"/>
          </w:tcPr>
          <w:p>
            <w:pPr>
              <w:widowControl/>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30分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价格分采用低价优先法计算，即满足招标文件要求且报价最低的投吧的价格为评标基准价（落实政府采购政策进行价格调整的，以调整后的价格计算），其价格分为满分。其他供应商的价格分统一按照下列公式计算：投标报价得分=(评标基准价（核算后）／投标报价（核算后）)×30%×100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121" w:type="dxa"/>
            <w:vMerge w:val="restart"/>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技术部分（</w:t>
            </w:r>
            <w:r>
              <w:rPr>
                <w:rFonts w:hint="eastAsia" w:ascii="宋体" w:hAnsi="宋体" w:eastAsia="宋体" w:cs="宋体"/>
                <w:snapToGrid/>
                <w:color w:val="000000"/>
                <w:kern w:val="0"/>
                <w:sz w:val="21"/>
                <w:szCs w:val="21"/>
                <w:highlight w:val="none"/>
                <w:lang w:val="en-US" w:eastAsia="zh-CN"/>
              </w:rPr>
              <w:t>60</w:t>
            </w:r>
            <w:r>
              <w:rPr>
                <w:rFonts w:hint="eastAsia" w:ascii="宋体" w:hAnsi="宋体" w:eastAsia="宋体" w:cs="宋体"/>
                <w:snapToGrid/>
                <w:color w:val="000000"/>
                <w:kern w:val="0"/>
                <w:sz w:val="21"/>
                <w:szCs w:val="21"/>
                <w:highlight w:val="none"/>
              </w:rPr>
              <w:t>分）</w:t>
            </w:r>
          </w:p>
        </w:tc>
        <w:tc>
          <w:tcPr>
            <w:tcW w:w="1215" w:type="dxa"/>
            <w:noWrap w:val="0"/>
            <w:vAlign w:val="center"/>
          </w:tcPr>
          <w:p>
            <w:pPr>
              <w:pStyle w:val="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技术参数</w:t>
            </w:r>
          </w:p>
        </w:tc>
        <w:tc>
          <w:tcPr>
            <w:tcW w:w="781" w:type="dxa"/>
            <w:noWrap w:val="0"/>
            <w:vAlign w:val="center"/>
          </w:tcPr>
          <w:p>
            <w:pPr>
              <w:widowControl/>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50分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投标产品技术规格符合招标文件要求，能完全满足使用要求得50分（本项最低得分为10分）。如设备参数及技术规格低于招标文件要求即为负偏离，每项非“★”号的一般参数负偏离减</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分，每项带星号“★”的关键技术参数负偏离扣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 xml:space="preserve">分。技术参数中参数须提供该产品制造商出具的技术白皮书（须由货物生产商或其直属机构盖章）或制造商公开发布的印刷资料作支持。如未在技术白皮书找到对应的参数证明，视为不满足招标文件要求。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color w:val="000000"/>
                <w:sz w:val="21"/>
                <w:szCs w:val="21"/>
                <w:highlight w:val="none"/>
              </w:rPr>
              <w:t>设备选型的功能性、实用性</w:t>
            </w:r>
          </w:p>
        </w:tc>
        <w:tc>
          <w:tcPr>
            <w:tcW w:w="781" w:type="dxa"/>
            <w:noWrap w:val="0"/>
            <w:vAlign w:val="center"/>
          </w:tcPr>
          <w:p>
            <w:pPr>
              <w:widowControl/>
              <w:spacing w:line="400" w:lineRule="exact"/>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w:t>
            </w:r>
          </w:p>
        </w:tc>
        <w:tc>
          <w:tcPr>
            <w:tcW w:w="6324" w:type="dxa"/>
            <w:noWrap w:val="0"/>
            <w:vAlign w:val="center"/>
          </w:tcPr>
          <w:p>
            <w:pPr>
              <w:widowControl/>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根据投标产品选型的功能性实用性进行评议：</w:t>
            </w:r>
          </w:p>
          <w:p>
            <w:pPr>
              <w:widowControl/>
              <w:numPr>
                <w:ilvl w:val="0"/>
                <w:numId w:val="2"/>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产品选型合理，功能齐全和实用性强得3分；</w:t>
            </w:r>
          </w:p>
          <w:p>
            <w:pPr>
              <w:widowControl/>
              <w:numPr>
                <w:ilvl w:val="0"/>
                <w:numId w:val="2"/>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产品选型较合理，功能配置和实用性符合项目需求得2分；</w:t>
            </w:r>
          </w:p>
          <w:p>
            <w:pPr>
              <w:pStyle w:val="2"/>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3、产品选型部分符合或不符合项目需求得1分。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napToGrid/>
                <w:kern w:val="0"/>
                <w:sz w:val="21"/>
                <w:szCs w:val="21"/>
                <w:highlight w:val="none"/>
              </w:rPr>
              <w:t>售后服务</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根据各投标人提出的售后服务方案承诺的售后保障措施、响应时间、技术支持等内容进行综合评审，措施合理、售后响应时间快、技术服务完善得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kern w:val="0"/>
                <w:sz w:val="21"/>
                <w:szCs w:val="21"/>
                <w:highlight w:val="none"/>
                <w14:textFill>
                  <w14:solidFill>
                    <w14:schemeClr w14:val="tx1"/>
                  </w14:solidFill>
                </w14:textFill>
              </w:rPr>
              <w:t>分；售后保障措施可行、响应时间和技术服务满足项目实际需求得2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分；其他得1分，未提供不得分。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z w:val="21"/>
                <w:szCs w:val="21"/>
                <w:highlight w:val="none"/>
              </w:rPr>
              <w:t>技术服务及培训</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投标人针对本项目制定合理的培训方案，培训方案包括但不限于以下方面：</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1、有关设备的使用、维护和保养等方法；（以使操作人员具备独立进行操作、故障处理、日常测试和维护保养等工作的能力为目的）</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2、相关设备的操作培训计划；</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3、拟派出培训人员的基本情况介绍，应包括同类项目的培训和应用经验等内容；</w:t>
            </w:r>
          </w:p>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根据供应商提供的培训方案进行评分，存在缺陷或缺漏或未响应的扣1分，扣完为止。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21" w:type="dxa"/>
            <w:vMerge w:val="restart"/>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商务部分（1</w:t>
            </w:r>
            <w:r>
              <w:rPr>
                <w:rFonts w:hint="eastAsia" w:ascii="宋体" w:hAnsi="宋体" w:eastAsia="宋体" w:cs="宋体"/>
                <w:snapToGrid/>
                <w:color w:val="000000"/>
                <w:kern w:val="0"/>
                <w:sz w:val="21"/>
                <w:szCs w:val="21"/>
                <w:highlight w:val="none"/>
                <w:lang w:val="en-US" w:eastAsia="zh-CN"/>
              </w:rPr>
              <w:t>0</w:t>
            </w:r>
            <w:r>
              <w:rPr>
                <w:rFonts w:hint="eastAsia" w:ascii="宋体" w:hAnsi="宋体" w:eastAsia="宋体" w:cs="宋体"/>
                <w:snapToGrid/>
                <w:color w:val="000000"/>
                <w:kern w:val="0"/>
                <w:sz w:val="21"/>
                <w:szCs w:val="21"/>
                <w:highlight w:val="none"/>
              </w:rPr>
              <w:t>分）</w:t>
            </w: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z w:val="21"/>
                <w:szCs w:val="21"/>
                <w:highlight w:val="none"/>
              </w:rPr>
              <w:t>质保期</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2分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质保期</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（全保）</w:t>
            </w:r>
            <w:r>
              <w:rPr>
                <w:rFonts w:hint="eastAsia" w:ascii="宋体" w:hAnsi="宋体" w:eastAsia="宋体" w:cs="宋体"/>
                <w:color w:val="000000" w:themeColor="text1"/>
                <w:kern w:val="0"/>
                <w:sz w:val="21"/>
                <w:szCs w:val="21"/>
                <w:highlight w:val="none"/>
                <w14:textFill>
                  <w14:solidFill>
                    <w14:schemeClr w14:val="tx1"/>
                  </w14:solidFill>
                </w14:textFill>
              </w:rPr>
              <w:t>满足招标文件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在</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全保</w:t>
            </w:r>
            <w:r>
              <w:rPr>
                <w:rFonts w:hint="eastAsia" w:ascii="宋体" w:hAnsi="宋体" w:eastAsia="宋体" w:cs="宋体"/>
                <w:color w:val="000000" w:themeColor="text1"/>
                <w:kern w:val="0"/>
                <w:sz w:val="21"/>
                <w:szCs w:val="21"/>
                <w:highlight w:val="none"/>
                <w14:textFill>
                  <w14:solidFill>
                    <w14:schemeClr w14:val="tx1"/>
                  </w14:solidFill>
                </w14:textFill>
              </w:rPr>
              <w:t>每增加一年加1分，最多得2分。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21" w:type="dxa"/>
            <w:vMerge w:val="continue"/>
            <w:noWrap w:val="0"/>
            <w:vAlign w:val="center"/>
          </w:tcPr>
          <w:p>
            <w:pPr>
              <w:widowControl/>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业绩要求</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供应商或其所投标产品201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月以来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，近三年</w:t>
            </w:r>
            <w:r>
              <w:rPr>
                <w:rFonts w:hint="eastAsia" w:ascii="宋体" w:hAnsi="宋体" w:eastAsia="宋体" w:cs="宋体"/>
                <w:color w:val="000000" w:themeColor="text1"/>
                <w:kern w:val="0"/>
                <w:sz w:val="21"/>
                <w:szCs w:val="21"/>
                <w:highlight w:val="none"/>
                <w14:textFill>
                  <w14:solidFill>
                    <w14:schemeClr w14:val="tx1"/>
                  </w14:solidFill>
                </w14:textFill>
              </w:rPr>
              <w:t>有类似产品业绩的每项业绩得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分，最多得至</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分。（提供合同或中标通知书或中标公示）</w:t>
            </w:r>
          </w:p>
        </w:tc>
      </w:tr>
    </w:tbl>
    <w:p>
      <w:pPr>
        <w:pStyle w:val="13"/>
        <w:jc w:val="both"/>
        <w:rPr>
          <w:rFonts w:hint="eastAsia" w:ascii="宋体" w:hAnsi="宋体" w:eastAsia="宋体" w:cs="宋体"/>
          <w:sz w:val="28"/>
          <w:szCs w:val="28"/>
          <w:lang w:eastAsia="zh-CN"/>
        </w:rPr>
      </w:pPr>
    </w:p>
    <w:p>
      <w:pPr>
        <w:pStyle w:val="2"/>
        <w:rPr>
          <w:rFonts w:hint="eastAsia" w:ascii="宋体" w:hAnsi="宋体" w:cs="宋体"/>
        </w:rPr>
      </w:pPr>
    </w:p>
    <w:p>
      <w:pPr>
        <w:rPr>
          <w:rFonts w:hint="eastAsia"/>
        </w:rPr>
      </w:pPr>
    </w:p>
    <w:p>
      <w:pPr>
        <w:pStyle w:val="2"/>
        <w:rPr>
          <w:rFonts w:hint="eastAsia"/>
        </w:rPr>
      </w:pPr>
    </w:p>
    <w:tbl>
      <w:tblPr>
        <w:tblStyle w:val="14"/>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15"/>
        <w:gridCol w:w="781"/>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1"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评审项目</w:t>
            </w:r>
          </w:p>
        </w:tc>
        <w:tc>
          <w:tcPr>
            <w:tcW w:w="1215"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评标分项</w:t>
            </w:r>
          </w:p>
        </w:tc>
        <w:tc>
          <w:tcPr>
            <w:tcW w:w="781"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项目分值</w:t>
            </w:r>
          </w:p>
        </w:tc>
        <w:tc>
          <w:tcPr>
            <w:tcW w:w="6324"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lang w:eastAsia="zh-CN"/>
              </w:rPr>
            </w:pPr>
            <w:r>
              <w:rPr>
                <w:rFonts w:hint="eastAsia" w:ascii="宋体" w:hAnsi="宋体" w:eastAsia="宋体" w:cs="宋体"/>
                <w:snapToGrid/>
                <w:color w:val="000000"/>
                <w:kern w:val="0"/>
                <w:sz w:val="21"/>
                <w:szCs w:val="21"/>
                <w:highlight w:val="none"/>
              </w:rPr>
              <w:t>评审标准</w:t>
            </w:r>
            <w:r>
              <w:rPr>
                <w:rFonts w:hint="eastAsia" w:ascii="宋体" w:hAnsi="宋体" w:eastAsia="宋体" w:cs="宋体"/>
                <w:snapToGrid/>
                <w:color w:val="000000"/>
                <w:kern w:val="0"/>
                <w:sz w:val="21"/>
                <w:szCs w:val="21"/>
                <w:highlight w:val="none"/>
                <w:lang w:eastAsia="zh-CN"/>
              </w:rPr>
              <w:t>（包</w:t>
            </w:r>
            <w:r>
              <w:rPr>
                <w:rFonts w:hint="eastAsia" w:ascii="宋体" w:hAnsi="宋体" w:cs="宋体"/>
                <w:snapToGrid/>
                <w:color w:val="000000"/>
                <w:kern w:val="0"/>
                <w:sz w:val="21"/>
                <w:szCs w:val="21"/>
                <w:highlight w:val="none"/>
                <w:lang w:eastAsia="zh-CN"/>
              </w:rPr>
              <w:t>二</w:t>
            </w:r>
            <w:r>
              <w:rPr>
                <w:rFonts w:hint="eastAsia" w:ascii="宋体" w:hAnsi="宋体" w:eastAsia="宋体" w:cs="宋体"/>
                <w:snapToGrid/>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21"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价格部分（30分）</w:t>
            </w:r>
          </w:p>
        </w:tc>
        <w:tc>
          <w:tcPr>
            <w:tcW w:w="1215"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报价得分</w:t>
            </w:r>
          </w:p>
        </w:tc>
        <w:tc>
          <w:tcPr>
            <w:tcW w:w="781" w:type="dxa"/>
            <w:noWrap w:val="0"/>
            <w:vAlign w:val="center"/>
          </w:tcPr>
          <w:p>
            <w:pPr>
              <w:widowControl/>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30分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价格分采用低价优先法计算，即满足招标文件要求且报价最低的投吧的价格为评标基准价（落实政府采购政策进行价格调整的，以调整后的价格计算），其价格分为满分。其他供应商的价格分统一按照下列公式计算：投标报价得分=(评标基准价（核算后）／投标报价（核算后）)×30%×100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121" w:type="dxa"/>
            <w:vMerge w:val="restart"/>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技术部分（</w:t>
            </w:r>
            <w:r>
              <w:rPr>
                <w:rFonts w:hint="eastAsia" w:ascii="宋体" w:hAnsi="宋体" w:eastAsia="宋体" w:cs="宋体"/>
                <w:snapToGrid/>
                <w:color w:val="000000"/>
                <w:kern w:val="0"/>
                <w:sz w:val="21"/>
                <w:szCs w:val="21"/>
                <w:highlight w:val="none"/>
                <w:lang w:val="en-US" w:eastAsia="zh-CN"/>
              </w:rPr>
              <w:t>60</w:t>
            </w:r>
            <w:r>
              <w:rPr>
                <w:rFonts w:hint="eastAsia" w:ascii="宋体" w:hAnsi="宋体" w:eastAsia="宋体" w:cs="宋体"/>
                <w:snapToGrid/>
                <w:color w:val="000000"/>
                <w:kern w:val="0"/>
                <w:sz w:val="21"/>
                <w:szCs w:val="21"/>
                <w:highlight w:val="none"/>
              </w:rPr>
              <w:t>分）</w:t>
            </w:r>
          </w:p>
        </w:tc>
        <w:tc>
          <w:tcPr>
            <w:tcW w:w="1215" w:type="dxa"/>
            <w:noWrap w:val="0"/>
            <w:vAlign w:val="center"/>
          </w:tcPr>
          <w:p>
            <w:pPr>
              <w:pStyle w:val="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技术参数</w:t>
            </w:r>
          </w:p>
        </w:tc>
        <w:tc>
          <w:tcPr>
            <w:tcW w:w="781" w:type="dxa"/>
            <w:noWrap w:val="0"/>
            <w:vAlign w:val="center"/>
          </w:tcPr>
          <w:p>
            <w:pPr>
              <w:widowControl/>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50分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投标产品技术规格符合招标文件要求，能完全满足使用要求得50分（本项最低得分为10分）。如设备参数及技术规格低于招标文件要求即为负偏离，每项非“★”号的一般参数负偏离减</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分，每项带星号“★”的关键技术参数负偏离扣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 xml:space="preserve">分。技术参数中参数须提供该产品制造商出具的技术白皮书（须由货物生产商或其直属机构盖章）或制造商公开发布的印刷资料作支持。如未在技术白皮书找到对应的参数证明，视为不满足招标文件要求。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color w:val="000000"/>
                <w:sz w:val="21"/>
                <w:szCs w:val="21"/>
                <w:highlight w:val="none"/>
              </w:rPr>
              <w:t>设备选型的功能性、实用性</w:t>
            </w:r>
          </w:p>
        </w:tc>
        <w:tc>
          <w:tcPr>
            <w:tcW w:w="781" w:type="dxa"/>
            <w:noWrap w:val="0"/>
            <w:vAlign w:val="center"/>
          </w:tcPr>
          <w:p>
            <w:pPr>
              <w:widowControl/>
              <w:spacing w:line="400" w:lineRule="exact"/>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w:t>
            </w:r>
          </w:p>
        </w:tc>
        <w:tc>
          <w:tcPr>
            <w:tcW w:w="6324" w:type="dxa"/>
            <w:noWrap w:val="0"/>
            <w:vAlign w:val="center"/>
          </w:tcPr>
          <w:p>
            <w:pPr>
              <w:widowControl/>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根据投标产品选型的功能性实用性进行评议：</w:t>
            </w:r>
          </w:p>
          <w:p>
            <w:pPr>
              <w:widowControl/>
              <w:numPr>
                <w:ilvl w:val="0"/>
                <w:numId w:val="2"/>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产品选型合理，功能齐全和实用性强得3分；</w:t>
            </w:r>
          </w:p>
          <w:p>
            <w:pPr>
              <w:widowControl/>
              <w:numPr>
                <w:ilvl w:val="0"/>
                <w:numId w:val="2"/>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产品选型较合理，功能配置和实用性符合项目需求得2分；</w:t>
            </w:r>
          </w:p>
          <w:p>
            <w:pPr>
              <w:pStyle w:val="2"/>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3、产品选型部分符合或不符合项目需求得1分。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napToGrid/>
                <w:kern w:val="0"/>
                <w:sz w:val="21"/>
                <w:szCs w:val="21"/>
                <w:highlight w:val="none"/>
              </w:rPr>
              <w:t>售后服务</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根据各投标人提出的售后服务方案承诺的售后保障措施、响应时间、技术支持等内容进行综合评审，措施合理、售后响应时间快、技术服务完善得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kern w:val="0"/>
                <w:sz w:val="21"/>
                <w:szCs w:val="21"/>
                <w:highlight w:val="none"/>
                <w14:textFill>
                  <w14:solidFill>
                    <w14:schemeClr w14:val="tx1"/>
                  </w14:solidFill>
                </w14:textFill>
              </w:rPr>
              <w:t>分；售后保障措施可行、响应时间和技术服务满足项目实际需求得2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分；其他得1分，未提供不得分。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z w:val="21"/>
                <w:szCs w:val="21"/>
                <w:highlight w:val="none"/>
              </w:rPr>
              <w:t>技术服务及培训</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投标人针对本项目制定合理的培训方案，培训方案包括但不限于以下方面：</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1、有关设备的使用、维护和保养等方法；（以使操作人员具备独立进行操作、故障处理、日常测试和维护保养等工作的能力为目的）</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2、相关设备的操作培训计划；</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3、拟派出培训人员的基本情况介绍，应包括同类项目的培训和应用经验等内容；</w:t>
            </w:r>
          </w:p>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根据供应商提供的培训方案进行评分，存在缺陷或缺漏或未响应的扣1分，扣完为止。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21" w:type="dxa"/>
            <w:vMerge w:val="restart"/>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商务部分（1</w:t>
            </w:r>
            <w:r>
              <w:rPr>
                <w:rFonts w:hint="eastAsia" w:ascii="宋体" w:hAnsi="宋体" w:eastAsia="宋体" w:cs="宋体"/>
                <w:snapToGrid/>
                <w:color w:val="000000"/>
                <w:kern w:val="0"/>
                <w:sz w:val="21"/>
                <w:szCs w:val="21"/>
                <w:highlight w:val="none"/>
                <w:lang w:val="en-US" w:eastAsia="zh-CN"/>
              </w:rPr>
              <w:t>0</w:t>
            </w:r>
            <w:r>
              <w:rPr>
                <w:rFonts w:hint="eastAsia" w:ascii="宋体" w:hAnsi="宋体" w:eastAsia="宋体" w:cs="宋体"/>
                <w:snapToGrid/>
                <w:color w:val="000000"/>
                <w:kern w:val="0"/>
                <w:sz w:val="21"/>
                <w:szCs w:val="21"/>
                <w:highlight w:val="none"/>
              </w:rPr>
              <w:t>分）</w:t>
            </w: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z w:val="21"/>
                <w:szCs w:val="21"/>
                <w:highlight w:val="none"/>
              </w:rPr>
              <w:t>质保期</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2分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质保期</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（全保）</w:t>
            </w:r>
            <w:r>
              <w:rPr>
                <w:rFonts w:hint="eastAsia" w:ascii="宋体" w:hAnsi="宋体" w:eastAsia="宋体" w:cs="宋体"/>
                <w:color w:val="000000" w:themeColor="text1"/>
                <w:kern w:val="0"/>
                <w:sz w:val="21"/>
                <w:szCs w:val="21"/>
                <w:highlight w:val="none"/>
                <w14:textFill>
                  <w14:solidFill>
                    <w14:schemeClr w14:val="tx1"/>
                  </w14:solidFill>
                </w14:textFill>
              </w:rPr>
              <w:t>满足招标文件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在</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全保</w:t>
            </w:r>
            <w:r>
              <w:rPr>
                <w:rFonts w:hint="eastAsia" w:ascii="宋体" w:hAnsi="宋体" w:eastAsia="宋体" w:cs="宋体"/>
                <w:color w:val="000000" w:themeColor="text1"/>
                <w:kern w:val="0"/>
                <w:sz w:val="21"/>
                <w:szCs w:val="21"/>
                <w:highlight w:val="none"/>
                <w14:textFill>
                  <w14:solidFill>
                    <w14:schemeClr w14:val="tx1"/>
                  </w14:solidFill>
                </w14:textFill>
              </w:rPr>
              <w:t>每增加一年加1分，最多得2分。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21" w:type="dxa"/>
            <w:vMerge w:val="continue"/>
            <w:noWrap w:val="0"/>
            <w:vAlign w:val="center"/>
          </w:tcPr>
          <w:p>
            <w:pPr>
              <w:widowControl/>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业绩要求</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供应商或其所投标产品201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月以来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，近三年</w:t>
            </w:r>
            <w:r>
              <w:rPr>
                <w:rFonts w:hint="eastAsia" w:ascii="宋体" w:hAnsi="宋体" w:eastAsia="宋体" w:cs="宋体"/>
                <w:color w:val="000000" w:themeColor="text1"/>
                <w:kern w:val="0"/>
                <w:sz w:val="21"/>
                <w:szCs w:val="21"/>
                <w:highlight w:val="none"/>
                <w14:textFill>
                  <w14:solidFill>
                    <w14:schemeClr w14:val="tx1"/>
                  </w14:solidFill>
                </w14:textFill>
              </w:rPr>
              <w:t>有类似产品业绩的每项业绩得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分，最多得至</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分。（提供合同或中标通知书或中标公示）</w:t>
            </w:r>
          </w:p>
        </w:tc>
      </w:tr>
    </w:tbl>
    <w:p>
      <w:pPr>
        <w:pStyle w:val="13"/>
        <w:ind w:firstLine="2241" w:firstLineChars="700"/>
        <w:jc w:val="both"/>
        <w:rPr>
          <w:rFonts w:hint="eastAsia" w:ascii="宋体" w:hAnsi="宋体" w:cs="宋体"/>
        </w:rPr>
      </w:pPr>
    </w:p>
    <w:p>
      <w:pPr>
        <w:pStyle w:val="13"/>
        <w:ind w:firstLine="2241" w:firstLineChars="700"/>
        <w:jc w:val="both"/>
        <w:rPr>
          <w:rFonts w:hint="eastAsia" w:ascii="宋体" w:hAnsi="宋体" w:cs="宋体"/>
        </w:rPr>
      </w:pPr>
    </w:p>
    <w:p>
      <w:pPr>
        <w:pStyle w:val="13"/>
        <w:ind w:firstLine="2241" w:firstLineChars="700"/>
        <w:jc w:val="both"/>
        <w:rPr>
          <w:rFonts w:hint="eastAsia" w:ascii="宋体" w:hAnsi="宋体" w:cs="宋体"/>
        </w:rPr>
      </w:pPr>
    </w:p>
    <w:p>
      <w:pPr>
        <w:pStyle w:val="13"/>
        <w:ind w:firstLine="2241" w:firstLineChars="700"/>
        <w:jc w:val="both"/>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spacing w:line="560" w:lineRule="exact"/>
      </w:pPr>
    </w:p>
    <w:tbl>
      <w:tblPr>
        <w:tblStyle w:val="14"/>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3493"/>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7924" w:type="dxa"/>
            <w:gridSpan w:val="4"/>
            <w:noWrap w:val="0"/>
            <w:vAlign w:val="center"/>
          </w:tcPr>
          <w:p>
            <w:pPr>
              <w:adjustRightInd w:val="0"/>
              <w:snapToGrid w:val="0"/>
              <w:jc w:val="center"/>
              <w:rPr>
                <w:rFonts w:hint="eastAsia" w:ascii="宋体" w:hAnsi="宋体"/>
                <w:b/>
                <w:szCs w:val="21"/>
              </w:rPr>
            </w:pPr>
            <w:r>
              <w:rPr>
                <w:rFonts w:hint="eastAsia" w:ascii="宋体" w:hAnsi="宋体" w:cs="宋体"/>
                <w:sz w:val="22"/>
                <w:szCs w:val="22"/>
                <w:u w:val="none"/>
                <w:lang w:eastAsia="zh-CN"/>
              </w:rPr>
              <w:t>全胸震荡排痰机（包一）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430"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210" w:firstLineChars="100"/>
              <w:jc w:val="both"/>
              <w:rPr>
                <w:rFonts w:hint="default" w:ascii="宋体" w:hAnsi="宋体" w:eastAsia="宋体"/>
                <w:szCs w:val="21"/>
                <w:lang w:val="en-US" w:eastAsia="zh-CN"/>
              </w:rPr>
            </w:pPr>
            <w:r>
              <w:rPr>
                <w:rFonts w:hint="eastAsia" w:ascii="宋体" w:hAnsi="宋体" w:eastAsia="宋体"/>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5"/>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tbl>
            <w:tblPr>
              <w:tblStyle w:val="14"/>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国产；</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功用：用于胸腔外部处置时进行气道清除排痰治疗，适用于分泌物排出困难或由粘液阻塞引起的肺膨胀不全患儿，促进气道清除排痰、改善支气管引流。</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配置清单：</w:t>
                  </w:r>
                </w:p>
                <w:p>
                  <w:pPr>
                    <w:keepNext w:val="0"/>
                    <w:keepLines w:val="0"/>
                    <w:widowControl/>
                    <w:numPr>
                      <w:ilvl w:val="0"/>
                      <w:numId w:val="3"/>
                    </w:numPr>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主机：1台；</w:t>
                  </w:r>
                </w:p>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导气软管：2根；</w:t>
                  </w:r>
                </w:p>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一次性充气背心：1件（成人中号）；</w:t>
                  </w:r>
                </w:p>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一次性充气胸带：2件（成人大号、中号各1）；</w:t>
                  </w:r>
                </w:p>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简易半胸充气胸带：3件（成人大中小号各1）；</w:t>
                  </w:r>
                </w:p>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标准全胸充气背心：3件（成人大中小号各1）；</w:t>
                  </w:r>
                </w:p>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手控触发器：1个；</w:t>
                  </w:r>
                </w:p>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电源线：1根；</w:t>
                  </w:r>
                </w:p>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专用台车：1套；</w:t>
                  </w:r>
                </w:p>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配件收纳袋：1个。</w:t>
                  </w:r>
                </w:p>
                <w:p>
                  <w:pPr>
                    <w:keepNext w:val="0"/>
                    <w:keepLines w:val="0"/>
                    <w:widowControl/>
                    <w:numPr>
                      <w:ilvl w:val="0"/>
                      <w:numId w:val="0"/>
                    </w:numPr>
                    <w:suppressLineNumbers w:val="0"/>
                    <w:jc w:val="left"/>
                    <w:textAlignment w:val="center"/>
                    <w:rPr>
                      <w:rFonts w:hint="default" w:ascii="宋体" w:hAnsi="宋体" w:cs="宋体"/>
                      <w:i w:val="0"/>
                      <w:color w:val="000000"/>
                      <w:kern w:val="0"/>
                      <w:sz w:val="22"/>
                      <w:szCs w:val="22"/>
                      <w:highlight w:val="none"/>
                      <w:u w:val="none"/>
                      <w:lang w:val="en-US" w:eastAsia="zh-CN" w:bidi="ar"/>
                    </w:rPr>
                  </w:pPr>
                </w:p>
              </w:tc>
            </w:tr>
          </w:tbl>
          <w:p>
            <w:pPr>
              <w:widowControl/>
              <w:jc w:val="left"/>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adjustRightInd w:val="0"/>
              <w:snapToGrid w:val="0"/>
              <w:rPr>
                <w:rFonts w:hint="eastAsia" w:ascii="宋体" w:hAnsi="宋体"/>
                <w:b/>
                <w:color w:val="000000"/>
                <w:szCs w:val="21"/>
              </w:rPr>
            </w:pP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1、主要构成：由主机（内置气动脉冲发生器）、导气软管、充气背心和手控器组成；</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2、便携式兼备台式功能：具备，配撑杆座；</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3、显示方式：</w:t>
            </w:r>
            <w:r>
              <w:rPr>
                <w:rFonts w:hint="eastAsia" w:ascii="宋体" w:hAnsi="宋体" w:cs="宋体"/>
                <w:i w:val="0"/>
                <w:color w:val="000000"/>
                <w:kern w:val="0"/>
                <w:sz w:val="22"/>
                <w:szCs w:val="22"/>
                <w:u w:val="none"/>
                <w:lang w:val="en-US" w:eastAsia="zh-CN" w:bidi="ar"/>
              </w:rPr>
              <w:t>不小于5寸</w:t>
            </w:r>
            <w:r>
              <w:rPr>
                <w:rFonts w:hint="eastAsia" w:ascii="宋体" w:hAnsi="宋体" w:eastAsia="宋体" w:cs="宋体"/>
                <w:i w:val="0"/>
                <w:color w:val="000000"/>
                <w:kern w:val="0"/>
                <w:sz w:val="22"/>
                <w:szCs w:val="22"/>
                <w:u w:val="none"/>
                <w:lang w:val="en-US" w:eastAsia="zh-CN" w:bidi="ar"/>
              </w:rPr>
              <w:t>彩色液晶界面显示；</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※4、按键方式：一键飞梭的操作方式；</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5、导气方式：采用双导气软管充、放气，使充气更加均匀；</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※6、背心：由外套及气囊两部分组成的全胸充气背心，可拆卸，且外套可按普通衣物的方式随时清洗；</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7、压力范围：0.5kpa～3.2kpa，分10档可调，步距增量0.3kpa；</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8、振动频率：5Hz～30Hz，连续可调，歩距增量1Hz；</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9、手动模式：治疗中压力及频率可随时调节；</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10、自动模式：按体型不同而分级定制，有多种自动程序模式；</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11、自定义模式：治疗前可设定各时段的压力及频率，治疗中不可调；</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12、定时时间：自定义模式四档可调；手动模式1min～99min连续可调；</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13、机轮：静音耐磨材料，万向旋转</w:t>
            </w:r>
            <w:r>
              <w:rPr>
                <w:rFonts w:hint="eastAsia" w:ascii="宋体" w:hAnsi="宋体" w:cs="宋体"/>
                <w:i w:val="0"/>
                <w:color w:val="000000"/>
                <w:kern w:val="0"/>
                <w:sz w:val="22"/>
                <w:szCs w:val="22"/>
                <w:u w:val="none"/>
                <w:lang w:val="en-US" w:eastAsia="zh-CN" w:bidi="ar"/>
              </w:rPr>
              <w:t>；</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14、手控触发器有“加压”、 “启动”、“停止”</w:t>
            </w:r>
            <w:r>
              <w:rPr>
                <w:rFonts w:hint="eastAsia" w:ascii="宋体" w:hAnsi="宋体" w:cs="宋体"/>
                <w:i w:val="0"/>
                <w:color w:val="000000"/>
                <w:kern w:val="0"/>
                <w:sz w:val="22"/>
                <w:szCs w:val="22"/>
                <w:u w:val="none"/>
                <w:lang w:val="en-US" w:eastAsia="zh-CN" w:bidi="ar"/>
              </w:rPr>
              <w:t>等</w:t>
            </w:r>
            <w:r>
              <w:rPr>
                <w:rFonts w:hint="eastAsia" w:ascii="宋体" w:hAnsi="宋体" w:eastAsia="宋体" w:cs="宋体"/>
                <w:i w:val="0"/>
                <w:color w:val="000000"/>
                <w:kern w:val="0"/>
                <w:sz w:val="22"/>
                <w:szCs w:val="22"/>
                <w:u w:val="none"/>
                <w:lang w:val="en-US" w:eastAsia="zh-CN" w:bidi="ar"/>
              </w:rPr>
              <w:t>功能，必要时可利用手控器进行快速停机。</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Arial" w:hAnsi="Arial"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w:t>
            </w:r>
            <w:r>
              <w:rPr>
                <w:rFonts w:hint="eastAsia" w:ascii="宋体" w:hAnsi="宋体" w:cs="宋体"/>
                <w:sz w:val="22"/>
                <w:szCs w:val="22"/>
              </w:rPr>
              <w:t>配件1年免费更换</w:t>
            </w:r>
            <w:r>
              <w:rPr>
                <w:rFonts w:hint="eastAsia" w:ascii="宋体" w:hAnsi="宋体" w:cs="宋体"/>
                <w:i w:val="0"/>
                <w:color w:val="000000"/>
                <w:kern w:val="0"/>
                <w:sz w:val="22"/>
                <w:szCs w:val="22"/>
                <w:u w:val="none"/>
                <w:lang w:val="en-US" w:eastAsia="zh-CN" w:bidi="ar"/>
              </w:rPr>
              <w:t>；免费安装调试；提供现场</w:t>
            </w:r>
            <w:r>
              <w:rPr>
                <w:rFonts w:hint="eastAsia" w:ascii="宋体" w:hAnsi="宋体" w:cs="宋体"/>
                <w:sz w:val="22"/>
                <w:szCs w:val="22"/>
                <w:lang w:val="en-US" w:eastAsia="zh-Hans"/>
              </w:rPr>
              <w:t>培训操作</w:t>
            </w:r>
            <w:r>
              <w:rPr>
                <w:rFonts w:hint="eastAsia" w:ascii="宋体" w:hAnsi="宋体" w:cs="宋体"/>
                <w:i w:val="0"/>
                <w:color w:val="000000"/>
                <w:kern w:val="0"/>
                <w:sz w:val="22"/>
                <w:szCs w:val="22"/>
                <w:u w:val="none"/>
                <w:lang w:val="en-US" w:eastAsia="zh-CN" w:bidi="ar"/>
              </w:rPr>
              <w:t>；如遇故障2小时响应，24小时到达现场维修。</w:t>
            </w:r>
          </w:p>
          <w:p>
            <w:pPr>
              <w:rPr>
                <w:rFonts w:hint="eastAsia" w:ascii="宋体" w:hAnsi="宋体" w:cs="宋体"/>
                <w:i w:val="0"/>
                <w:color w:val="000000"/>
                <w:kern w:val="0"/>
                <w:sz w:val="22"/>
                <w:szCs w:val="22"/>
                <w:u w:val="none"/>
                <w:lang w:val="en-US" w:eastAsia="zh-CN" w:bidi="ar"/>
              </w:rPr>
            </w:pPr>
          </w:p>
        </w:tc>
      </w:tr>
    </w:tbl>
    <w:p>
      <w:pPr>
        <w:pStyle w:val="2"/>
        <w:rPr>
          <w:rFonts w:hint="eastAsia" w:eastAsia="宋体"/>
          <w:color w:val="000000" w:themeColor="text1"/>
          <w:lang w:eastAsia="zh-CN"/>
          <w14:textFill>
            <w14:solidFill>
              <w14:schemeClr w14:val="tx1"/>
            </w14:solidFill>
          </w14:textFill>
        </w:rPr>
      </w:pPr>
    </w:p>
    <w:p/>
    <w:p>
      <w:pPr>
        <w:pStyle w:val="2"/>
      </w:pPr>
    </w:p>
    <w:p/>
    <w:tbl>
      <w:tblPr>
        <w:tblStyle w:val="14"/>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759"/>
        <w:gridCol w:w="930"/>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41" w:type="dxa"/>
            <w:noWrap w:val="0"/>
            <w:vAlign w:val="center"/>
          </w:tcPr>
          <w:p>
            <w:pPr>
              <w:adjustRightInd w:val="0"/>
              <w:snapToGrid w:val="0"/>
              <w:jc w:val="left"/>
              <w:rPr>
                <w:rFonts w:ascii="宋体" w:hAnsi="宋体"/>
                <w:b/>
                <w:szCs w:val="21"/>
              </w:rPr>
            </w:pPr>
            <w:bookmarkStart w:id="39" w:name="_Toc528493169"/>
            <w:bookmarkStart w:id="40" w:name="_Toc528493581"/>
            <w:bookmarkStart w:id="41" w:name="_Toc23718"/>
            <w:bookmarkStart w:id="42" w:name="_Toc528493136"/>
            <w:bookmarkStart w:id="43" w:name="_Toc528493088"/>
            <w:r>
              <w:rPr>
                <w:rFonts w:hint="eastAsia" w:ascii="宋体" w:hAnsi="宋体"/>
                <w:b/>
                <w:szCs w:val="21"/>
              </w:rPr>
              <w:t>医疗设备项目</w:t>
            </w:r>
          </w:p>
        </w:tc>
        <w:tc>
          <w:tcPr>
            <w:tcW w:w="8120" w:type="dxa"/>
            <w:gridSpan w:val="5"/>
            <w:noWrap w:val="0"/>
            <w:vAlign w:val="center"/>
          </w:tcPr>
          <w:p>
            <w:pPr>
              <w:adjustRightInd w:val="0"/>
              <w:snapToGrid w:val="0"/>
              <w:ind w:left="195"/>
              <w:jc w:val="center"/>
              <w:rPr>
                <w:rFonts w:hint="eastAsia" w:ascii="宋体" w:hAnsi="宋体"/>
                <w:b/>
                <w:szCs w:val="21"/>
              </w:rPr>
            </w:pPr>
            <w:r>
              <w:rPr>
                <w:rFonts w:hint="eastAsia" w:ascii="宋体" w:hAnsi="宋体" w:eastAsia="宋体" w:cs="宋体"/>
                <w:strike w:val="0"/>
                <w:dstrike w:val="0"/>
                <w:sz w:val="22"/>
                <w:szCs w:val="22"/>
                <w:u w:val="none"/>
                <w:lang w:eastAsia="zh-CN"/>
              </w:rPr>
              <w:t>高频电刀（包二）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41"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2759" w:type="dxa"/>
            <w:noWrap w:val="0"/>
            <w:vAlign w:val="center"/>
          </w:tcPr>
          <w:p>
            <w:pPr>
              <w:adjustRightInd w:val="0"/>
              <w:snapToGrid w:val="0"/>
              <w:ind w:firstLine="630" w:firstLineChars="300"/>
              <w:jc w:val="left"/>
              <w:rPr>
                <w:rFonts w:hint="eastAsia" w:ascii="宋体" w:hAnsi="宋体" w:eastAsia="宋体"/>
                <w:szCs w:val="21"/>
                <w:lang w:eastAsia="zh-CN"/>
              </w:rPr>
            </w:pPr>
            <w:r>
              <w:rPr>
                <w:rFonts w:hint="eastAsia" w:ascii="宋体" w:hAnsi="宋体" w:eastAsia="宋体"/>
                <w:szCs w:val="21"/>
                <w:lang w:eastAsia="zh-CN"/>
              </w:rPr>
              <w:t>手术室</w:t>
            </w:r>
          </w:p>
        </w:tc>
        <w:tc>
          <w:tcPr>
            <w:tcW w:w="930"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210" w:firstLineChars="100"/>
              <w:jc w:val="both"/>
              <w:rPr>
                <w:rFonts w:hint="default" w:ascii="宋体" w:hAnsi="宋体" w:eastAsia="宋体"/>
                <w:szCs w:val="21"/>
                <w:lang w:val="en-US" w:eastAsia="zh-CN"/>
              </w:rPr>
            </w:pPr>
            <w:r>
              <w:rPr>
                <w:rFonts w:hint="eastAsia" w:ascii="宋体" w:hAnsi="宋体" w:eastAsia="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6"/>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tbl>
            <w:tblPr>
              <w:tblStyle w:val="14"/>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原装进口；</w:t>
                  </w:r>
                </w:p>
                <w:p>
                  <w:pPr>
                    <w:keepNext w:val="0"/>
                    <w:keepLines w:val="0"/>
                    <w:widowControl/>
                    <w:numPr>
                      <w:ilvl w:val="0"/>
                      <w:numId w:val="0"/>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配置清单：主机、脚踏开关、负极板连线、器械台车各1。</w:t>
                  </w:r>
                </w:p>
                <w:p>
                  <w:pPr>
                    <w:keepNext w:val="0"/>
                    <w:keepLines w:val="0"/>
                    <w:widowControl/>
                    <w:numPr>
                      <w:ilvl w:val="0"/>
                      <w:numId w:val="0"/>
                    </w:numPr>
                    <w:suppressLineNumbers w:val="0"/>
                    <w:jc w:val="left"/>
                    <w:textAlignment w:val="center"/>
                    <w:rPr>
                      <w:rFonts w:hint="default" w:ascii="宋体" w:hAnsi="宋体" w:cs="宋体"/>
                      <w:i w:val="0"/>
                      <w:color w:val="000000"/>
                      <w:kern w:val="0"/>
                      <w:sz w:val="22"/>
                      <w:szCs w:val="22"/>
                      <w:highlight w:val="none"/>
                      <w:u w:val="none"/>
                      <w:lang w:val="en-US" w:eastAsia="zh-CN" w:bidi="ar"/>
                    </w:rPr>
                  </w:pPr>
                </w:p>
              </w:tc>
            </w:tr>
          </w:tbl>
          <w:p>
            <w:pPr>
              <w:widowControl/>
              <w:jc w:val="left"/>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6"/>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adjustRightInd w:val="0"/>
              <w:snapToGrid w:val="0"/>
              <w:rPr>
                <w:rFonts w:hint="eastAsia" w:ascii="宋体" w:hAnsi="宋体"/>
                <w:b/>
                <w:color w:val="000000"/>
                <w:szCs w:val="21"/>
              </w:rPr>
            </w:pPr>
          </w:p>
          <w:p>
            <w:pPr>
              <w:keepNext w:val="0"/>
              <w:keepLines w:val="0"/>
              <w:widowControl/>
              <w:suppressLineNumbers w:val="0"/>
              <w:jc w:val="both"/>
              <w:textAlignment w:val="center"/>
              <w:rPr>
                <w:rFonts w:hint="eastAsia"/>
                <w:sz w:val="22"/>
                <w:szCs w:val="22"/>
                <w:lang w:val="en-US" w:eastAsia="zh-CN"/>
              </w:rPr>
            </w:pPr>
            <w:r>
              <w:rPr>
                <w:rFonts w:hint="eastAsia" w:ascii="宋体" w:hAnsi="宋体" w:eastAsia="宋体" w:cs="宋体"/>
                <w:i w:val="0"/>
                <w:color w:val="000000"/>
                <w:kern w:val="0"/>
                <w:sz w:val="22"/>
                <w:szCs w:val="22"/>
                <w:u w:val="none"/>
                <w:lang w:val="en-US" w:eastAsia="zh-CN" w:bidi="ar"/>
              </w:rPr>
              <w:t>※</w:t>
            </w:r>
            <w:r>
              <w:rPr>
                <w:rFonts w:hint="eastAsia"/>
                <w:sz w:val="22"/>
                <w:szCs w:val="22"/>
                <w:lang w:val="en-US" w:eastAsia="zh-CN"/>
              </w:rPr>
              <w:t>1、操作界面：液晶、中文显示；</w:t>
            </w:r>
          </w:p>
          <w:p>
            <w:pPr>
              <w:keepNext w:val="0"/>
              <w:keepLines w:val="0"/>
              <w:widowControl/>
              <w:suppressLineNumbers w:val="0"/>
              <w:jc w:val="both"/>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2、电刀输出：有电刀笔输出、腔镜单极输出、双极输出接口；输出功率自动调整；</w:t>
            </w:r>
          </w:p>
          <w:p>
            <w:pPr>
              <w:keepNext w:val="0"/>
              <w:keepLines w:val="0"/>
              <w:widowControl/>
              <w:numPr>
                <w:ilvl w:val="0"/>
                <w:numId w:val="4"/>
              </w:numPr>
              <w:suppressLineNumbers w:val="0"/>
              <w:jc w:val="both"/>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脚踏开关：通过主机切换单、双极功能，可显示当前脚踏分配，具备双极自动启动功能；</w:t>
            </w:r>
          </w:p>
          <w:p>
            <w:pPr>
              <w:keepNext w:val="0"/>
              <w:keepLines w:val="0"/>
              <w:widowControl/>
              <w:numPr>
                <w:ilvl w:val="0"/>
                <w:numId w:val="4"/>
              </w:numPr>
              <w:suppressLineNumbers w:val="0"/>
              <w:jc w:val="both"/>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负极板：具备负极板接触安全监测功能，实时监测接触电阻，可检测负极板上的电流分布，具有小儿检测设置；</w:t>
            </w:r>
          </w:p>
          <w:p>
            <w:pPr>
              <w:keepNext w:val="0"/>
              <w:keepLines w:val="0"/>
              <w:widowControl/>
              <w:numPr>
                <w:ilvl w:val="0"/>
                <w:numId w:val="4"/>
              </w:numPr>
              <w:suppressLineNumbers w:val="0"/>
              <w:jc w:val="both"/>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切割模式：不少于4种电切模式；</w:t>
            </w:r>
          </w:p>
          <w:p>
            <w:pPr>
              <w:keepNext w:val="0"/>
              <w:keepLines w:val="0"/>
              <w:widowControl/>
              <w:numPr>
                <w:ilvl w:val="0"/>
                <w:numId w:val="4"/>
              </w:numPr>
              <w:suppressLineNumbers w:val="0"/>
              <w:jc w:val="both"/>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电凝模式：不少于5种电凝模式；</w:t>
            </w:r>
          </w:p>
          <w:p>
            <w:pPr>
              <w:keepNext w:val="0"/>
              <w:keepLines w:val="0"/>
              <w:widowControl/>
              <w:numPr>
                <w:ilvl w:val="0"/>
                <w:numId w:val="0"/>
              </w:numPr>
              <w:suppressLineNumbers w:val="0"/>
              <w:jc w:val="both"/>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7、程序储存：可存贮9组以上程序；</w:t>
            </w:r>
          </w:p>
          <w:p>
            <w:pPr>
              <w:keepNext w:val="0"/>
              <w:keepLines w:val="0"/>
              <w:widowControl/>
              <w:suppressLineNumbers w:val="0"/>
              <w:jc w:val="left"/>
              <w:textAlignment w:val="center"/>
              <w:rPr>
                <w:rFonts w:hint="eastAsia" w:ascii="宋体" w:hAnsi="宋体" w:cs="宋体"/>
                <w:sz w:val="22"/>
                <w:szCs w:val="22"/>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8、升级功能：可升级冲洗模块，吸烟模块。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2年；免费安装调试；提供现场</w:t>
            </w:r>
            <w:r>
              <w:rPr>
                <w:rFonts w:hint="eastAsia" w:ascii="宋体" w:hAnsi="宋体" w:cs="宋体"/>
                <w:sz w:val="22"/>
                <w:szCs w:val="22"/>
                <w:lang w:val="en-US" w:eastAsia="zh-Hans"/>
              </w:rPr>
              <w:t>培训操作</w:t>
            </w:r>
            <w:r>
              <w:rPr>
                <w:rFonts w:hint="eastAsia" w:ascii="宋体" w:hAnsi="宋体" w:cs="宋体"/>
                <w:i w:val="0"/>
                <w:color w:val="000000"/>
                <w:kern w:val="0"/>
                <w:sz w:val="22"/>
                <w:szCs w:val="22"/>
                <w:u w:val="none"/>
                <w:lang w:val="en-US" w:eastAsia="zh-CN" w:bidi="ar"/>
              </w:rPr>
              <w:t>；如遇故障2小时响应，24小时到达现场维修。</w:t>
            </w:r>
          </w:p>
          <w:p>
            <w:pPr>
              <w:rPr>
                <w:rFonts w:hint="eastAsia" w:ascii="宋体" w:hAnsi="宋体" w:cs="宋体"/>
                <w:i w:val="0"/>
                <w:color w:val="000000"/>
                <w:kern w:val="0"/>
                <w:sz w:val="22"/>
                <w:szCs w:val="22"/>
                <w:u w:val="none"/>
                <w:lang w:val="en-US" w:eastAsia="zh-CN" w:bidi="ar"/>
              </w:rPr>
            </w:pPr>
          </w:p>
        </w:tc>
      </w:tr>
    </w:tbl>
    <w:p>
      <w:pPr>
        <w:pStyle w:val="13"/>
        <w:jc w:val="both"/>
        <w:rPr>
          <w:rFonts w:hint="eastAsia" w:ascii="宋体" w:hAnsi="宋体" w:eastAsia="宋体" w:cs="宋体"/>
          <w:color w:val="auto"/>
          <w:sz w:val="28"/>
          <w:szCs w:val="28"/>
          <w:highlight w:val="none"/>
          <w:lang w:eastAsia="zh-CN"/>
        </w:rPr>
      </w:pPr>
    </w:p>
    <w:p>
      <w:pPr>
        <w:rPr>
          <w:rFonts w:hint="eastAsia"/>
          <w:lang w:eastAsia="zh-CN"/>
        </w:rPr>
      </w:pPr>
    </w:p>
    <w:p>
      <w:pPr>
        <w:pStyle w:val="2"/>
        <w:rPr>
          <w:rFonts w:hint="eastAsia"/>
          <w:lang w:eastAsia="zh-CN"/>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rPr>
      </w:pPr>
    </w:p>
    <w:p>
      <w:pPr>
        <w:pStyle w:val="13"/>
        <w:rPr>
          <w:rFonts w:hint="eastAsia" w:ascii="宋体" w:hAnsi="宋体" w:cs="宋体"/>
          <w:color w:val="auto"/>
          <w:highlight w:val="none"/>
        </w:rPr>
      </w:pPr>
    </w:p>
    <w:p>
      <w:pPr>
        <w:rPr>
          <w:rFonts w:hint="eastAsia"/>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pStyle w:val="13"/>
        <w:jc w:val="both"/>
        <w:rPr>
          <w:rFonts w:hint="eastAsia" w:ascii="宋体" w:hAnsi="宋体" w:cs="宋体"/>
          <w:color w:val="auto"/>
          <w:highlight w:val="none"/>
        </w:rPr>
      </w:pPr>
    </w:p>
    <w:p>
      <w:pPr>
        <w:pStyle w:val="13"/>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9"/>
      <w:bookmarkEnd w:id="40"/>
      <w:bookmarkEnd w:id="41"/>
      <w:bookmarkEnd w:id="42"/>
      <w:bookmarkEnd w:id="43"/>
    </w:p>
    <w:p>
      <w:pPr>
        <w:tabs>
          <w:tab w:val="left" w:pos="180"/>
          <w:tab w:val="left" w:pos="1620"/>
        </w:tabs>
        <w:spacing w:line="500" w:lineRule="exact"/>
        <w:rPr>
          <w:rFonts w:hint="eastAsia" w:ascii="宋体" w:hAnsi="宋体" w:cs="宋体"/>
          <w:bCs/>
          <w:color w:val="auto"/>
          <w:sz w:val="28"/>
          <w:szCs w:val="28"/>
          <w:highlight w:val="none"/>
        </w:rPr>
      </w:pPr>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both"/>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240" w:firstLineChars="800"/>
        <w:rPr>
          <w:rFonts w:hint="eastAsia" w:ascii="宋体" w:hAnsi="宋体" w:cs="宋体"/>
          <w:color w:val="auto"/>
          <w:sz w:val="28"/>
          <w:szCs w:val="28"/>
          <w:highlight w:val="none"/>
          <w:u w:val="single"/>
        </w:rPr>
      </w:pPr>
    </w:p>
    <w:p>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5"/>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5"/>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6"/>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6"/>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6"/>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付 款 方 式</w:t>
            </w:r>
          </w:p>
        </w:tc>
        <w:tc>
          <w:tcPr>
            <w:tcW w:w="5942" w:type="dxa"/>
            <w:noWrap w:val="0"/>
            <w:vAlign w:val="top"/>
          </w:tcPr>
          <w:p>
            <w:pPr>
              <w:tabs>
                <w:tab w:val="left" w:pos="900"/>
                <w:tab w:val="left" w:pos="1080"/>
                <w:tab w:val="left" w:pos="1140"/>
                <w:tab w:val="left" w:pos="1430"/>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4" w:name="_Toc528493584"/>
            <w:bookmarkStart w:id="45" w:name="_Toc528493091"/>
            <w:bookmarkStart w:id="46" w:name="_Toc528493172"/>
            <w:bookmarkStart w:id="47" w:name="_Toc528493928"/>
            <w:bookmarkStart w:id="48" w:name="_Toc26339"/>
            <w:bookmarkStart w:id="49" w:name="_Toc528493139"/>
            <w:bookmarkStart w:id="50" w:name="_Toc528494290"/>
            <w:r>
              <w:rPr>
                <w:rFonts w:hint="eastAsia" w:ascii="宋体" w:hAnsi="宋体" w:cs="宋体"/>
                <w:color w:val="auto"/>
                <w:sz w:val="24"/>
                <w:highlight w:val="none"/>
              </w:rPr>
              <w:t>序号</w:t>
            </w:r>
            <w:bookmarkEnd w:id="44"/>
            <w:bookmarkEnd w:id="45"/>
            <w:bookmarkEnd w:id="46"/>
            <w:bookmarkEnd w:id="47"/>
            <w:bookmarkEnd w:id="48"/>
            <w:bookmarkEnd w:id="49"/>
            <w:bookmarkEnd w:id="50"/>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1" w:name="_Toc528493173"/>
            <w:bookmarkStart w:id="52" w:name="_Toc528493929"/>
            <w:bookmarkStart w:id="53" w:name="_Toc528493092"/>
            <w:bookmarkStart w:id="54" w:name="_Toc528494291"/>
            <w:bookmarkStart w:id="55" w:name="_Toc528493140"/>
            <w:bookmarkStart w:id="56" w:name="_Toc528493585"/>
            <w:bookmarkStart w:id="57" w:name="_Toc31908"/>
            <w:r>
              <w:rPr>
                <w:rFonts w:hint="eastAsia" w:ascii="宋体" w:hAnsi="宋体" w:cs="宋体"/>
                <w:color w:val="auto"/>
                <w:sz w:val="24"/>
                <w:highlight w:val="none"/>
              </w:rPr>
              <w:t>磋商文件要求</w:t>
            </w:r>
            <w:bookmarkEnd w:id="51"/>
            <w:bookmarkEnd w:id="52"/>
            <w:bookmarkEnd w:id="53"/>
            <w:bookmarkEnd w:id="54"/>
            <w:bookmarkEnd w:id="55"/>
            <w:bookmarkEnd w:id="56"/>
            <w:bookmarkEnd w:id="57"/>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8" w:name="_Toc528493930"/>
            <w:bookmarkStart w:id="59" w:name="_Toc528493586"/>
            <w:bookmarkStart w:id="60" w:name="_Toc528493093"/>
            <w:bookmarkStart w:id="61" w:name="_Toc528493141"/>
            <w:bookmarkStart w:id="62" w:name="_Toc528493174"/>
            <w:bookmarkStart w:id="63" w:name="_Toc12278"/>
            <w:bookmarkStart w:id="64" w:name="_Toc528494292"/>
            <w:r>
              <w:rPr>
                <w:rFonts w:hint="eastAsia" w:ascii="宋体" w:hAnsi="宋体" w:cs="宋体"/>
                <w:color w:val="auto"/>
                <w:sz w:val="24"/>
                <w:highlight w:val="none"/>
              </w:rPr>
              <w:t>磋商响应文件具体响应</w:t>
            </w:r>
            <w:bookmarkEnd w:id="58"/>
            <w:bookmarkEnd w:id="59"/>
            <w:bookmarkEnd w:id="60"/>
            <w:bookmarkEnd w:id="61"/>
            <w:bookmarkEnd w:id="62"/>
            <w:bookmarkEnd w:id="63"/>
            <w:bookmarkEnd w:id="64"/>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5" w:name="_Toc528493142"/>
            <w:bookmarkStart w:id="66" w:name="_Toc528493094"/>
            <w:bookmarkStart w:id="67" w:name="_Toc528493587"/>
            <w:bookmarkStart w:id="68" w:name="_Toc528494293"/>
            <w:bookmarkStart w:id="69" w:name="_Toc14189"/>
            <w:bookmarkStart w:id="70" w:name="_Toc528493931"/>
            <w:bookmarkStart w:id="71" w:name="_Toc528493175"/>
            <w:r>
              <w:rPr>
                <w:rFonts w:hint="eastAsia" w:ascii="宋体" w:hAnsi="宋体" w:cs="宋体"/>
                <w:color w:val="auto"/>
                <w:sz w:val="24"/>
                <w:highlight w:val="none"/>
              </w:rPr>
              <w:t>响应/偏离</w:t>
            </w:r>
            <w:bookmarkEnd w:id="65"/>
            <w:bookmarkEnd w:id="66"/>
            <w:bookmarkEnd w:id="67"/>
            <w:bookmarkEnd w:id="68"/>
            <w:bookmarkEnd w:id="69"/>
            <w:bookmarkEnd w:id="70"/>
            <w:bookmarkEnd w:id="71"/>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2" w:name="_Toc528493096"/>
            <w:bookmarkStart w:id="73" w:name="_Toc528493933"/>
            <w:bookmarkStart w:id="74" w:name="_Toc528493144"/>
            <w:bookmarkStart w:id="75" w:name="_Toc528493177"/>
            <w:bookmarkStart w:id="76" w:name="_Toc1573"/>
            <w:bookmarkStart w:id="77" w:name="_Toc528494295"/>
            <w:bookmarkStart w:id="78" w:name="_Toc528493589"/>
            <w:r>
              <w:rPr>
                <w:rFonts w:hint="eastAsia" w:ascii="宋体" w:hAnsi="宋体" w:cs="宋体"/>
                <w:color w:val="auto"/>
                <w:sz w:val="24"/>
                <w:highlight w:val="none"/>
              </w:rPr>
              <w:t>1</w:t>
            </w:r>
            <w:bookmarkEnd w:id="72"/>
            <w:bookmarkEnd w:id="73"/>
            <w:bookmarkEnd w:id="74"/>
            <w:bookmarkEnd w:id="75"/>
            <w:bookmarkEnd w:id="76"/>
            <w:bookmarkEnd w:id="77"/>
            <w:bookmarkEnd w:id="78"/>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9" w:name="_Toc11391"/>
            <w:bookmarkStart w:id="80" w:name="_Toc528493934"/>
            <w:bookmarkStart w:id="81" w:name="_Toc528494296"/>
            <w:bookmarkStart w:id="82" w:name="_Toc528493145"/>
            <w:bookmarkStart w:id="83" w:name="_Toc528493097"/>
            <w:bookmarkStart w:id="84" w:name="_Toc528493590"/>
            <w:bookmarkStart w:id="85" w:name="_Toc528493178"/>
            <w:r>
              <w:rPr>
                <w:rFonts w:hint="eastAsia" w:ascii="宋体" w:hAnsi="宋体" w:cs="宋体"/>
                <w:color w:val="auto"/>
                <w:sz w:val="24"/>
                <w:highlight w:val="none"/>
              </w:rPr>
              <w:t>2</w:t>
            </w:r>
            <w:bookmarkEnd w:id="79"/>
            <w:bookmarkEnd w:id="80"/>
            <w:bookmarkEnd w:id="81"/>
            <w:bookmarkEnd w:id="82"/>
            <w:bookmarkEnd w:id="83"/>
            <w:bookmarkEnd w:id="84"/>
            <w:bookmarkEnd w:id="85"/>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6" w:name="_Toc528494297"/>
            <w:bookmarkStart w:id="87" w:name="_Toc528493591"/>
            <w:bookmarkStart w:id="88" w:name="_Toc17906"/>
            <w:bookmarkStart w:id="89" w:name="_Toc528493146"/>
            <w:bookmarkStart w:id="90" w:name="_Toc528493098"/>
            <w:bookmarkStart w:id="91" w:name="_Toc528493179"/>
            <w:bookmarkStart w:id="92" w:name="_Toc528493935"/>
            <w:r>
              <w:rPr>
                <w:rFonts w:hint="eastAsia" w:ascii="宋体" w:hAnsi="宋体" w:cs="宋体"/>
                <w:color w:val="auto"/>
                <w:sz w:val="24"/>
                <w:highlight w:val="none"/>
              </w:rPr>
              <w:t>3</w:t>
            </w:r>
            <w:bookmarkEnd w:id="86"/>
            <w:bookmarkEnd w:id="87"/>
            <w:bookmarkEnd w:id="88"/>
            <w:bookmarkEnd w:id="89"/>
            <w:bookmarkEnd w:id="90"/>
            <w:bookmarkEnd w:id="91"/>
            <w:bookmarkEnd w:id="92"/>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3" w:name="_Toc528493180"/>
            <w:bookmarkStart w:id="94" w:name="_Toc528493592"/>
            <w:bookmarkStart w:id="95" w:name="_Toc22914"/>
            <w:bookmarkStart w:id="96" w:name="_Toc528494298"/>
            <w:bookmarkStart w:id="97" w:name="_Toc528493147"/>
            <w:bookmarkStart w:id="98" w:name="_Toc528493936"/>
            <w:bookmarkStart w:id="99" w:name="_Toc528493099"/>
            <w:r>
              <w:rPr>
                <w:rFonts w:hint="eastAsia" w:ascii="宋体" w:hAnsi="宋体" w:cs="宋体"/>
                <w:color w:val="auto"/>
                <w:sz w:val="24"/>
                <w:highlight w:val="none"/>
              </w:rPr>
              <w:t>4</w:t>
            </w:r>
            <w:bookmarkEnd w:id="93"/>
            <w:bookmarkEnd w:id="94"/>
            <w:bookmarkEnd w:id="95"/>
            <w:bookmarkEnd w:id="96"/>
            <w:bookmarkEnd w:id="97"/>
            <w:bookmarkEnd w:id="98"/>
            <w:bookmarkEnd w:id="99"/>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0" w:name="_Toc528493149"/>
            <w:bookmarkStart w:id="101" w:name="_Toc528493101"/>
            <w:bookmarkStart w:id="102" w:name="_Toc528493594"/>
            <w:bookmarkStart w:id="103" w:name="_Toc528493182"/>
            <w:bookmarkStart w:id="104" w:name="_Toc528494300"/>
            <w:bookmarkStart w:id="105" w:name="_Toc12286"/>
            <w:bookmarkStart w:id="106" w:name="_Toc528493938"/>
            <w:r>
              <w:rPr>
                <w:rFonts w:hint="eastAsia" w:ascii="宋体" w:hAnsi="宋体" w:cs="宋体"/>
                <w:color w:val="auto"/>
                <w:sz w:val="24"/>
                <w:highlight w:val="none"/>
              </w:rPr>
              <w:t>…</w:t>
            </w:r>
            <w:bookmarkEnd w:id="100"/>
            <w:bookmarkEnd w:id="101"/>
            <w:bookmarkEnd w:id="102"/>
            <w:bookmarkEnd w:id="103"/>
            <w:bookmarkEnd w:id="104"/>
            <w:bookmarkEnd w:id="105"/>
            <w:bookmarkEnd w:id="106"/>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ind w:left="0" w:leftChars="0" w:firstLine="0" w:firstLineChars="0"/>
        <w:rPr>
          <w:rFonts w:hint="eastAsia" w:cs="宋体"/>
          <w:color w:val="auto"/>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ZyMh2AAAAAoBAAAPAAAAAAAAAAEAIAAAACIAAABkcnMv&#10;ZG93bnJldi54bWxQSwECFAAUAAAACACHTuJA2oWnJzwCAACJBAAADgAAAAAAAAABACAAAAAnAQAA&#10;ZHJzL2Uyb0RvYy54bWxQSwUGAAAAAAYABgBZAQAA1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70124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70124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DERn2AAAAAoBAAAPAAAAAAAAAAEAIAAAACIAAABkcnMv&#10;ZG93bnJldi54bWxQSwECFAAUAAAACACHTuJASxf58TwCAACMBAAADgAAAAAAAAABACAAAAAnAQAA&#10;ZHJzL2Uyb0RvYy54bWxQSwUGAAAAAAYABgBZAQAA1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spacing w:line="500" w:lineRule="exact"/>
        <w:rPr>
          <w:rFonts w:hint="eastAsia" w:ascii="宋体" w:hAnsi="宋体" w:cs="宋体"/>
          <w:bCs/>
          <w:color w:val="auto"/>
          <w:sz w:val="24"/>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716608"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716608;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wHsXnYAAAACgEAAA8AAAAAAAAAAQAgAAAAIgAAAGRycy9k&#10;b3ducmV2LnhtbFBLAQIUABQAAAAIAIdO4kDBkPiUOwIAAIkEAAAOAAAAAAAAAAEAIAAAACcBAABk&#10;cnMvZTJvRG9jLnhtbFBLBQYAAAAABgAGAFkBAADU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732992"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4pt;height:135pt;width:236.25pt;z-index:251732992;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90cUPYAAAACQEAAA8AAAAAAAAAAQAgAAAAIgAAAGRy&#10;cy9kb3ducmV2LnhtbFBLAQIUABQAAAAIAIdO4kAAtNyUPgIAAIoEAAAOAAAAAAAAAAEAIAAAACcB&#10;AABkcnMvZTJvRG9jLnhtbFBLBQYAAAAABgAGAFkBAADX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p>
    <w:p>
      <w:pPr>
        <w:pStyle w:val="12"/>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2"/>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lvl w:ilvl="0" w:tentative="0">
      <w:start w:val="1"/>
      <w:numFmt w:val="decimal"/>
      <w:suff w:val="nothing"/>
      <w:lvlText w:val="%1、"/>
      <w:lvlJc w:val="left"/>
    </w:lvl>
  </w:abstractNum>
  <w:abstractNum w:abstractNumId="1">
    <w:nsid w:val="1196B2B3"/>
    <w:multiLevelType w:val="singleLevel"/>
    <w:tmpl w:val="1196B2B3"/>
    <w:lvl w:ilvl="0" w:tentative="0">
      <w:start w:val="3"/>
      <w:numFmt w:val="chineseCounting"/>
      <w:suff w:val="space"/>
      <w:lvlText w:val="第%1章"/>
      <w:lvlJc w:val="left"/>
      <w:rPr>
        <w:rFonts w:hint="eastAsia"/>
      </w:rPr>
    </w:lvl>
  </w:abstractNum>
  <w:abstractNum w:abstractNumId="2">
    <w:nsid w:val="1BA00901"/>
    <w:multiLevelType w:val="singleLevel"/>
    <w:tmpl w:val="1BA00901"/>
    <w:lvl w:ilvl="0" w:tentative="0">
      <w:start w:val="3"/>
      <w:numFmt w:val="decimal"/>
      <w:suff w:val="nothing"/>
      <w:lvlText w:val="%1、"/>
      <w:lvlJc w:val="left"/>
    </w:lvl>
  </w:abstractNum>
  <w:abstractNum w:abstractNumId="3">
    <w:nsid w:val="2188D90D"/>
    <w:multiLevelType w:val="singleLevel"/>
    <w:tmpl w:val="2188D90D"/>
    <w:lvl w:ilvl="0" w:tentative="0">
      <w:start w:val="1"/>
      <w:numFmt w:val="decimal"/>
      <w:suff w:val="nothing"/>
      <w:lvlText w:val="%1、"/>
      <w:lvlJc w:val="left"/>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F870B5"/>
    <w:rsid w:val="04550258"/>
    <w:rsid w:val="046F789F"/>
    <w:rsid w:val="056A7287"/>
    <w:rsid w:val="06BE0864"/>
    <w:rsid w:val="0762589B"/>
    <w:rsid w:val="07840C1C"/>
    <w:rsid w:val="080114A3"/>
    <w:rsid w:val="0BF43143"/>
    <w:rsid w:val="0E2516E7"/>
    <w:rsid w:val="0FDB5204"/>
    <w:rsid w:val="0FFD1525"/>
    <w:rsid w:val="10BD1107"/>
    <w:rsid w:val="11BF031F"/>
    <w:rsid w:val="13471463"/>
    <w:rsid w:val="13811054"/>
    <w:rsid w:val="14A44C54"/>
    <w:rsid w:val="15DE1435"/>
    <w:rsid w:val="164E3296"/>
    <w:rsid w:val="16A506F0"/>
    <w:rsid w:val="18D655C1"/>
    <w:rsid w:val="19B5718D"/>
    <w:rsid w:val="1A4B672E"/>
    <w:rsid w:val="1AB0046A"/>
    <w:rsid w:val="1B2D49DD"/>
    <w:rsid w:val="1B675AE3"/>
    <w:rsid w:val="1C5E3C65"/>
    <w:rsid w:val="1DD75E51"/>
    <w:rsid w:val="1DFC0766"/>
    <w:rsid w:val="2050519F"/>
    <w:rsid w:val="237D4F74"/>
    <w:rsid w:val="27412556"/>
    <w:rsid w:val="27C260C0"/>
    <w:rsid w:val="27FD42E4"/>
    <w:rsid w:val="29206C33"/>
    <w:rsid w:val="29B528D3"/>
    <w:rsid w:val="29C779B7"/>
    <w:rsid w:val="29E32F07"/>
    <w:rsid w:val="2A73335D"/>
    <w:rsid w:val="2DC02D85"/>
    <w:rsid w:val="2E7B5E33"/>
    <w:rsid w:val="300716CB"/>
    <w:rsid w:val="305B15F0"/>
    <w:rsid w:val="30EE76F0"/>
    <w:rsid w:val="31560C8D"/>
    <w:rsid w:val="315E3248"/>
    <w:rsid w:val="32086A87"/>
    <w:rsid w:val="32791E67"/>
    <w:rsid w:val="32AB65C9"/>
    <w:rsid w:val="33632D6F"/>
    <w:rsid w:val="3469717C"/>
    <w:rsid w:val="34771EDC"/>
    <w:rsid w:val="349156AF"/>
    <w:rsid w:val="363137A4"/>
    <w:rsid w:val="38365E00"/>
    <w:rsid w:val="38A01607"/>
    <w:rsid w:val="3CAB5DA5"/>
    <w:rsid w:val="3D2A474F"/>
    <w:rsid w:val="3D2F2EA9"/>
    <w:rsid w:val="3FF54414"/>
    <w:rsid w:val="43243CFA"/>
    <w:rsid w:val="43927C81"/>
    <w:rsid w:val="444F1683"/>
    <w:rsid w:val="445760DF"/>
    <w:rsid w:val="44A927C6"/>
    <w:rsid w:val="44AC4AE9"/>
    <w:rsid w:val="44CB2166"/>
    <w:rsid w:val="45940BE3"/>
    <w:rsid w:val="492B0B88"/>
    <w:rsid w:val="4B813EAF"/>
    <w:rsid w:val="4B887AAF"/>
    <w:rsid w:val="4B9C1030"/>
    <w:rsid w:val="4C667855"/>
    <w:rsid w:val="4F865F47"/>
    <w:rsid w:val="4FAF7B48"/>
    <w:rsid w:val="512F569D"/>
    <w:rsid w:val="54B24A6E"/>
    <w:rsid w:val="56DF0B86"/>
    <w:rsid w:val="58EE244C"/>
    <w:rsid w:val="5AF06324"/>
    <w:rsid w:val="5C1C7E73"/>
    <w:rsid w:val="5D51662D"/>
    <w:rsid w:val="60EB55DA"/>
    <w:rsid w:val="61807E6A"/>
    <w:rsid w:val="61BB4047"/>
    <w:rsid w:val="61BE3442"/>
    <w:rsid w:val="65703F7D"/>
    <w:rsid w:val="666979DA"/>
    <w:rsid w:val="66DE30BE"/>
    <w:rsid w:val="675B110D"/>
    <w:rsid w:val="68442A0A"/>
    <w:rsid w:val="69201F7F"/>
    <w:rsid w:val="692D1312"/>
    <w:rsid w:val="699D2C61"/>
    <w:rsid w:val="69EE499A"/>
    <w:rsid w:val="6A82326F"/>
    <w:rsid w:val="6AC03A33"/>
    <w:rsid w:val="6ADE17B1"/>
    <w:rsid w:val="6BBC104F"/>
    <w:rsid w:val="6C752355"/>
    <w:rsid w:val="6CE967CB"/>
    <w:rsid w:val="6D185A1C"/>
    <w:rsid w:val="6E6E3EF2"/>
    <w:rsid w:val="6F2654D8"/>
    <w:rsid w:val="6FFD4587"/>
    <w:rsid w:val="73555DAC"/>
    <w:rsid w:val="73EB54D8"/>
    <w:rsid w:val="750E5531"/>
    <w:rsid w:val="762A2991"/>
    <w:rsid w:val="764F0B5A"/>
    <w:rsid w:val="767D50AA"/>
    <w:rsid w:val="768D3C35"/>
    <w:rsid w:val="76994FB4"/>
    <w:rsid w:val="77662248"/>
    <w:rsid w:val="786525A9"/>
    <w:rsid w:val="7AEF68D3"/>
    <w:rsid w:val="7B40238E"/>
    <w:rsid w:val="7D7F614E"/>
    <w:rsid w:val="7E102838"/>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annotation text"/>
    <w:basedOn w:val="1"/>
    <w:qFormat/>
    <w:uiPriority w:val="99"/>
    <w:pPr>
      <w:jc w:val="left"/>
    </w:pPr>
  </w:style>
  <w:style w:type="paragraph" w:styleId="5">
    <w:name w:val="Body Text Indent"/>
    <w:basedOn w:val="1"/>
    <w:next w:val="6"/>
    <w:link w:val="22"/>
    <w:semiHidden/>
    <w:unhideWhenUsed/>
    <w:qFormat/>
    <w:uiPriority w:val="99"/>
    <w:pPr>
      <w:spacing w:after="120"/>
      <w:ind w:left="420" w:leftChars="200"/>
    </w:pPr>
  </w:style>
  <w:style w:type="paragraph" w:styleId="6">
    <w:name w:val="Body Text First Indent 2"/>
    <w:basedOn w:val="5"/>
    <w:link w:val="23"/>
    <w:qFormat/>
    <w:uiPriority w:val="0"/>
    <w:pPr>
      <w:tabs>
        <w:tab w:val="left" w:pos="720"/>
      </w:tabs>
      <w:ind w:firstLine="420" w:firstLineChars="200"/>
    </w:pPr>
    <w:rPr>
      <w:rFonts w:ascii="宋体" w:hAnsi="宋体"/>
      <w:color w:val="000000"/>
    </w:rPr>
  </w:style>
  <w:style w:type="paragraph" w:styleId="7">
    <w:name w:val="Plain Text"/>
    <w:basedOn w:val="1"/>
    <w:link w:val="21"/>
    <w:qFormat/>
    <w:uiPriority w:val="99"/>
    <w:rPr>
      <w:rFonts w:ascii="宋体" w:hAnsi="Courier New" w:cstheme="minorBidi"/>
      <w:szCs w:val="22"/>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20"/>
    <w:qFormat/>
    <w:uiPriority w:val="0"/>
    <w:pPr>
      <w:spacing w:before="240" w:after="60"/>
      <w:jc w:val="center"/>
      <w:outlineLvl w:val="0"/>
    </w:pPr>
    <w:rPr>
      <w:rFonts w:ascii="Cambria" w:hAnsi="Cambria" w:eastAsiaTheme="minorEastAsia"/>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0"/>
    <w:rPr>
      <w:sz w:val="18"/>
      <w:szCs w:val="18"/>
    </w:rPr>
  </w:style>
  <w:style w:type="character" w:customStyle="1" w:styleId="18">
    <w:name w:val="页脚 字符"/>
    <w:basedOn w:val="16"/>
    <w:link w:val="8"/>
    <w:qFormat/>
    <w:uiPriority w:val="0"/>
    <w:rPr>
      <w:sz w:val="18"/>
      <w:szCs w:val="18"/>
    </w:rPr>
  </w:style>
  <w:style w:type="character" w:customStyle="1" w:styleId="19">
    <w:name w:val="副标题 字符"/>
    <w:link w:val="10"/>
    <w:qFormat/>
    <w:uiPriority w:val="0"/>
    <w:rPr>
      <w:rFonts w:ascii="Cambria" w:hAnsi="Cambria" w:cs="Times New Roman"/>
      <w:b/>
      <w:bCs/>
      <w:kern w:val="28"/>
      <w:sz w:val="32"/>
      <w:szCs w:val="32"/>
    </w:rPr>
  </w:style>
  <w:style w:type="character" w:customStyle="1" w:styleId="20">
    <w:name w:val="标题 字符"/>
    <w:link w:val="13"/>
    <w:qFormat/>
    <w:uiPriority w:val="0"/>
    <w:rPr>
      <w:rFonts w:ascii="Cambria" w:hAnsi="Cambria" w:cs="Times New Roman"/>
      <w:b/>
      <w:bCs/>
      <w:sz w:val="32"/>
      <w:szCs w:val="32"/>
    </w:rPr>
  </w:style>
  <w:style w:type="character" w:customStyle="1" w:styleId="21">
    <w:name w:val="纯文本 字符"/>
    <w:link w:val="7"/>
    <w:qFormat/>
    <w:locked/>
    <w:uiPriority w:val="99"/>
    <w:rPr>
      <w:rFonts w:ascii="宋体" w:hAnsi="Courier New" w:eastAsia="宋体"/>
    </w:rPr>
  </w:style>
  <w:style w:type="character" w:customStyle="1" w:styleId="22">
    <w:name w:val="正文文本缩进 字符"/>
    <w:basedOn w:val="16"/>
    <w:link w:val="5"/>
    <w:semiHidden/>
    <w:qFormat/>
    <w:uiPriority w:val="99"/>
    <w:rPr>
      <w:rFonts w:ascii="Times New Roman" w:hAnsi="Times New Roman" w:eastAsia="宋体" w:cs="Times New Roman"/>
      <w:szCs w:val="20"/>
    </w:rPr>
  </w:style>
  <w:style w:type="character" w:customStyle="1" w:styleId="23">
    <w:name w:val="正文文本首行缩进 2 字符"/>
    <w:basedOn w:val="22"/>
    <w:link w:val="6"/>
    <w:qFormat/>
    <w:uiPriority w:val="0"/>
    <w:rPr>
      <w:rFonts w:ascii="宋体" w:hAnsi="宋体" w:eastAsia="宋体" w:cs="Times New Roman"/>
      <w:color w:val="000000"/>
      <w:szCs w:val="20"/>
    </w:rPr>
  </w:style>
  <w:style w:type="character" w:customStyle="1" w:styleId="24">
    <w:name w:val="副标题 字符1"/>
    <w:basedOn w:val="16"/>
    <w:qFormat/>
    <w:uiPriority w:val="11"/>
    <w:rPr>
      <w:b/>
      <w:bCs/>
      <w:kern w:val="28"/>
      <w:sz w:val="32"/>
      <w:szCs w:val="32"/>
    </w:rPr>
  </w:style>
  <w:style w:type="character" w:customStyle="1" w:styleId="25">
    <w:name w:val="标题 字符1"/>
    <w:basedOn w:val="16"/>
    <w:qFormat/>
    <w:uiPriority w:val="10"/>
    <w:rPr>
      <w:rFonts w:asciiTheme="majorHAnsi" w:hAnsiTheme="majorHAnsi" w:eastAsiaTheme="majorEastAsia" w:cstheme="majorBidi"/>
      <w:b/>
      <w:bCs/>
      <w:sz w:val="32"/>
      <w:szCs w:val="32"/>
    </w:rPr>
  </w:style>
  <w:style w:type="character" w:customStyle="1" w:styleId="26">
    <w:name w:val="纯文本 字符1"/>
    <w:basedOn w:val="16"/>
    <w:semiHidden/>
    <w:qFormat/>
    <w:uiPriority w:val="99"/>
    <w:rPr>
      <w:rFonts w:hAnsi="Courier New" w:cs="Courier New" w:asciiTheme="minorEastAsia"/>
      <w:szCs w:val="20"/>
    </w:rPr>
  </w:style>
  <w:style w:type="character" w:customStyle="1" w:styleId="27">
    <w:name w:val="标题 1 字符"/>
    <w:basedOn w:val="16"/>
    <w:link w:val="3"/>
    <w:qFormat/>
    <w:uiPriority w:val="9"/>
    <w:rPr>
      <w:rFonts w:ascii="Times New Roman" w:hAnsi="Times New Roman" w:eastAsia="宋体" w:cs="Times New Roman"/>
      <w:b/>
      <w:bCs/>
      <w:kern w:val="44"/>
      <w:sz w:val="44"/>
      <w:szCs w:val="44"/>
    </w:rPr>
  </w:style>
  <w:style w:type="paragraph" w:customStyle="1" w:styleId="28">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0">
    <w:name w:val="正文缩进2格"/>
    <w:basedOn w:val="1"/>
    <w:next w:val="1"/>
    <w:qFormat/>
    <w:uiPriority w:val="99"/>
    <w:pPr>
      <w:spacing w:line="600" w:lineRule="exact"/>
      <w:ind w:firstLine="639" w:firstLineChars="206"/>
    </w:pPr>
    <w:rPr>
      <w:rFonts w:ascii="仿宋_GB2312" w:hAnsi="宋体" w:eastAsia="仿宋_GB2312"/>
      <w:sz w:val="3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985</Words>
  <Characters>5619</Characters>
  <Lines>46</Lines>
  <Paragraphs>13</Paragraphs>
  <TotalTime>3</TotalTime>
  <ScaleCrop>false</ScaleCrop>
  <LinksUpToDate>false</LinksUpToDate>
  <CharactersWithSpaces>6591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dcterms:modified xsi:type="dcterms:W3CDTF">2022-06-08T09:20:02Z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