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44"/>
          <w:szCs w:val="44"/>
        </w:rPr>
      </w:pPr>
      <w:r>
        <w:rPr>
          <w:rFonts w:hint="eastAsia" w:ascii="方正小标宋简体" w:hAnsi="Arial" w:eastAsia="方正小标宋简体" w:cs="方正小标宋简体"/>
          <w:sz w:val="44"/>
          <w:szCs w:val="44"/>
          <w:lang w:val="en-US" w:eastAsia="zh-CN"/>
        </w:rPr>
        <w:t>2021</w:t>
      </w:r>
      <w:r>
        <w:rPr>
          <w:rFonts w:hint="eastAsia" w:ascii="方正小标宋简体" w:hAnsi="Arial" w:eastAsia="方正小标宋简体" w:cs="方正小标宋简体"/>
          <w:sz w:val="44"/>
          <w:szCs w:val="44"/>
        </w:rPr>
        <w:t>年度</w:t>
      </w:r>
      <w:r>
        <w:rPr>
          <w:rFonts w:hint="eastAsia" w:ascii="方正小标宋简体" w:hAnsi="Arial" w:eastAsia="方正小标宋简体" w:cs="方正小标宋简体"/>
          <w:sz w:val="44"/>
          <w:szCs w:val="44"/>
          <w:lang w:val="en-US" w:eastAsia="zh-CN"/>
        </w:rPr>
        <w:t>重大公共卫生服务和基本公共卫生服务</w:t>
      </w:r>
      <w:r>
        <w:rPr>
          <w:rFonts w:hint="eastAsia" w:ascii="方正小标宋简体" w:hAnsi="Arial" w:eastAsia="方正小标宋简体" w:cs="方正小标宋简体"/>
          <w:sz w:val="44"/>
          <w:szCs w:val="44"/>
        </w:rPr>
        <w:t>项目自评结果</w:t>
      </w:r>
    </w:p>
    <w:p>
      <w:pPr>
        <w:jc w:val="center"/>
        <w:rPr>
          <w:rFonts w:ascii="仿宋" w:hAnsi="仿宋" w:eastAsia="仿宋"/>
          <w:sz w:val="32"/>
          <w:szCs w:val="32"/>
        </w:rPr>
      </w:pPr>
    </w:p>
    <w:p>
      <w:pPr>
        <w:spacing w:line="620" w:lineRule="exact"/>
        <w:ind w:firstLine="640" w:firstLineChars="200"/>
        <w:rPr>
          <w:rFonts w:ascii="黑体" w:hAnsi="黑体" w:eastAsia="黑体"/>
          <w:sz w:val="32"/>
          <w:szCs w:val="32"/>
        </w:rPr>
      </w:pPr>
      <w:r>
        <w:rPr>
          <w:rFonts w:hint="eastAsia" w:ascii="黑体" w:hAnsi="黑体" w:eastAsia="黑体" w:cs="黑体"/>
          <w:sz w:val="32"/>
          <w:szCs w:val="32"/>
        </w:rPr>
        <w:t>一、自评结论</w:t>
      </w:r>
    </w:p>
    <w:p>
      <w:pPr>
        <w:spacing w:line="620" w:lineRule="exact"/>
        <w:ind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rPr>
        <w:t>（一）自评得分</w:t>
      </w:r>
      <w:r>
        <w:rPr>
          <w:rFonts w:hint="eastAsia" w:ascii="仿宋" w:hAnsi="仿宋" w:eastAsia="仿宋" w:cs="仿宋"/>
          <w:b/>
          <w:sz w:val="32"/>
          <w:szCs w:val="32"/>
          <w:lang w:val="en-US" w:eastAsia="zh-CN"/>
        </w:rPr>
        <w:t>。</w:t>
      </w:r>
    </w:p>
    <w:p>
      <w:pPr>
        <w:numPr>
          <w:ilvl w:val="0"/>
          <w:numId w:val="0"/>
        </w:numPr>
        <w:ind w:firstLine="640"/>
        <w:outlineLvl w:val="0"/>
        <w:rPr>
          <w:rFonts w:hint="eastAsia" w:ascii="仿宋" w:hAnsi="仿宋" w:eastAsia="仿宋" w:cs="仿宋"/>
          <w:b/>
          <w:sz w:val="28"/>
          <w:szCs w:val="28"/>
          <w:highlight w:val="none"/>
          <w:lang w:val="en-US" w:eastAsia="zh-CN"/>
        </w:rPr>
      </w:pPr>
      <w:r>
        <w:rPr>
          <w:rFonts w:hint="eastAsia" w:ascii="仿宋" w:hAnsi="仿宋" w:eastAsia="仿宋" w:cs="仿宋"/>
          <w:i w:val="0"/>
          <w:caps w:val="0"/>
          <w:color w:val="333333"/>
          <w:spacing w:val="0"/>
          <w:sz w:val="28"/>
          <w:szCs w:val="28"/>
          <w:highlight w:val="none"/>
          <w:shd w:val="clear" w:color="auto" w:fill="FFFFFF"/>
          <w:lang w:val="en-US" w:eastAsia="zh-CN"/>
        </w:rPr>
        <w:t>我市重大公共卫生服务和基本公共卫生服务支出项目自评得分为100分，其中：预算执行情况20分，产出指标40分，效益指标20分，满意度指标20分。</w:t>
      </w:r>
    </w:p>
    <w:p>
      <w:pPr>
        <w:spacing w:line="6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（二）绩效目标完成情况</w:t>
      </w:r>
    </w:p>
    <w:p>
      <w:pPr>
        <w:spacing w:line="6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1.执行率情况。</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2"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预防艾滋、乙肝、梅毒母婴传播项目:</w:t>
      </w:r>
      <w:r>
        <w:rPr>
          <w:rFonts w:hint="eastAsia" w:ascii="仿宋" w:hAnsi="仿宋" w:eastAsia="仿宋" w:cs="仿宋"/>
          <w:b w:val="0"/>
          <w:bCs w:val="0"/>
          <w:sz w:val="28"/>
          <w:szCs w:val="28"/>
          <w:lang w:val="en-US" w:eastAsia="zh-CN"/>
        </w:rPr>
        <w:t>2021年1-12月黄石城区、大冶市、阳新县“三病”检测23463人，检测率均达到100%。2021年1-12月黄石城区乙肝感染产妇分娩活产数共500例，接受补助362例。并对其中87例孕中、晚期血清HBV DNA≥2×105IU/ml或HBeAg阳性孕产妇所生儿童进行规范随访。2021年1-12月城区梅毒感染产妇共30例，均进行了规范随访，其中接受补助5例。对2021年1-12月3例艾滋病孕妇及3名所生儿童进行追踪随访，完成3名儿童HIV早期核酸检测。3名儿童出生48小时早期核酸检测均为阴性。</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2"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新生儿疾病筛查:</w:t>
      </w:r>
      <w:r>
        <w:rPr>
          <w:rFonts w:hint="eastAsia" w:ascii="仿宋" w:hAnsi="仿宋" w:eastAsia="仿宋" w:cs="仿宋"/>
          <w:b w:val="0"/>
          <w:bCs w:val="0"/>
          <w:sz w:val="28"/>
          <w:szCs w:val="28"/>
          <w:lang w:val="en-US" w:eastAsia="zh-CN"/>
        </w:rPr>
        <w:t>2021年1-12月全市助产机构活产数19737人，新生儿疾病筛查人数19590人,筛查率99.26%。2021年1-12月筛查结果：葡萄糖6磷酸脱氢酶缺乏症18人，轻度高苯丙氨酸血症1人，地中海贫血279人（ɑ地贫208人，β地贫67人，α和β同时缺失4 人），高TSH血症13人（需要药物治疗13人），先天性甲状腺功能减低症18人。所有阳性病例均进行跟踪管理及干预：确诊为高苯丙氨酸血症、甲状腺功能减低症和高TSH血症药物治疗的患儿均建立专用病历，专案管理；确诊为地中海贫血和葡萄糖6磷酸脱氢酶缺乏症的患儿，对家长进行健康教育，门诊随访。 听力筛查：新生儿听力筛查人数18864人，筛查率95.58%。</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2"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计划生育技术服务:</w:t>
      </w:r>
      <w:r>
        <w:rPr>
          <w:rFonts w:hint="eastAsia" w:ascii="仿宋" w:hAnsi="仿宋" w:eastAsia="仿宋" w:cs="仿宋"/>
          <w:b w:val="0"/>
          <w:bCs w:val="0"/>
          <w:sz w:val="28"/>
          <w:szCs w:val="28"/>
          <w:lang w:val="en-US" w:eastAsia="zh-CN"/>
        </w:rPr>
        <w:t>婚前检查、孕前优生检查：2021年1-12月份全市婚前免费医学检查人数10453人（目标任务数11700人），完成率89.34%；孕前优生健康检查人数9536人（目标任务数11864人），完成率80.38%。</w:t>
      </w:r>
    </w:p>
    <w:p>
      <w:pPr>
        <w:numPr>
          <w:ilvl w:val="0"/>
          <w:numId w:val="0"/>
        </w:numPr>
        <w:spacing w:line="6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完成的绩效目标。</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2021年活产数23667人，5岁以下儿童死亡103人，死亡率为4.35‰,低于全省要求9‰；婴儿死亡56人，死亡率为2.37‰,低于全省要求7‰；孕产妇死亡3人,死亡率为12.68/10万,低于全省要求15/10万。</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i w:val="0"/>
          <w:caps w:val="0"/>
          <w:color w:val="auto"/>
          <w:spacing w:val="0"/>
          <w:sz w:val="28"/>
          <w:szCs w:val="28"/>
          <w:highlight w:val="none"/>
          <w:shd w:val="clear" w:color="auto" w:fill="FFFFFF"/>
          <w:lang w:val="en-US" w:eastAsia="zh-CN"/>
        </w:rPr>
      </w:pPr>
      <w:r>
        <w:rPr>
          <w:rFonts w:hint="eastAsia" w:ascii="仿宋" w:hAnsi="仿宋" w:eastAsia="仿宋" w:cs="仿宋"/>
          <w:b w:val="0"/>
          <w:bCs w:val="0"/>
          <w:i w:val="0"/>
          <w:color w:val="auto"/>
          <w:kern w:val="0"/>
          <w:sz w:val="28"/>
          <w:szCs w:val="28"/>
          <w:highlight w:val="none"/>
          <w:u w:val="none"/>
          <w:lang w:val="en-US" w:eastAsia="zh-CN" w:bidi="ar"/>
        </w:rPr>
        <w:t>2021年黄石</w:t>
      </w:r>
      <w:r>
        <w:rPr>
          <w:rFonts w:hint="eastAsia" w:ascii="仿宋" w:hAnsi="仿宋" w:eastAsia="仿宋" w:cs="仿宋"/>
          <w:b w:val="0"/>
          <w:bCs w:val="0"/>
          <w:i w:val="0"/>
          <w:caps w:val="0"/>
          <w:color w:val="auto"/>
          <w:spacing w:val="0"/>
          <w:sz w:val="28"/>
          <w:szCs w:val="28"/>
          <w:highlight w:val="none"/>
          <w:shd w:val="clear" w:color="auto" w:fill="FFFFFF"/>
          <w:lang w:val="en-US" w:eastAsia="zh-CN"/>
        </w:rPr>
        <w:t>城区、大冶市、阳新县“三病”检测</w:t>
      </w:r>
      <w:r>
        <w:rPr>
          <w:rFonts w:hint="eastAsia" w:ascii="仿宋" w:hAnsi="仿宋" w:eastAsia="仿宋" w:cs="仿宋"/>
          <w:b w:val="0"/>
          <w:bCs w:val="0"/>
          <w:sz w:val="28"/>
          <w:szCs w:val="28"/>
          <w:lang w:val="en-US" w:eastAsia="zh-CN"/>
        </w:rPr>
        <w:t>23463</w:t>
      </w:r>
      <w:r>
        <w:rPr>
          <w:rFonts w:hint="eastAsia" w:ascii="仿宋" w:hAnsi="仿宋" w:eastAsia="仿宋" w:cs="仿宋"/>
          <w:b w:val="0"/>
          <w:bCs w:val="0"/>
          <w:i w:val="0"/>
          <w:caps w:val="0"/>
          <w:color w:val="auto"/>
          <w:spacing w:val="0"/>
          <w:sz w:val="28"/>
          <w:szCs w:val="28"/>
          <w:highlight w:val="none"/>
          <w:shd w:val="clear" w:color="auto" w:fill="FFFFFF"/>
          <w:lang w:val="en-US" w:eastAsia="zh-CN"/>
        </w:rPr>
        <w:t>人，检测率均达到100%。</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lang w:val="en-US" w:eastAsia="zh-CN"/>
        </w:rPr>
        <w:t>2021年1-12月全市助产机构活产数19737人，新生儿疾病筛查</w:t>
      </w:r>
      <w:r>
        <w:rPr>
          <w:rFonts w:hint="eastAsia" w:ascii="仿宋" w:hAnsi="仿宋" w:eastAsia="仿宋" w:cs="仿宋"/>
          <w:b w:val="0"/>
          <w:bCs w:val="0"/>
          <w:sz w:val="28"/>
          <w:szCs w:val="28"/>
          <w:highlight w:val="none"/>
          <w:lang w:val="en-US" w:eastAsia="zh-CN"/>
        </w:rPr>
        <w:t>人数19590人,筛查率99.26%。</w:t>
      </w:r>
    </w:p>
    <w:p>
      <w:pPr>
        <w:numPr>
          <w:numId w:val="0"/>
        </w:numPr>
        <w:spacing w:line="620" w:lineRule="exact"/>
        <w:ind w:leftChars="200"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未完成的绩效目标。</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b w:val="0"/>
          <w:bCs w:val="0"/>
          <w:sz w:val="28"/>
          <w:szCs w:val="28"/>
          <w:lang w:val="en-US" w:eastAsia="zh-CN"/>
        </w:rPr>
        <w:t>2021年1-12月份全市婚前免费医学检查人数10453人，完成率89.34%；孕前优生健康检查人数9536人，完成率80.38%。</w:t>
      </w:r>
    </w:p>
    <w:p>
      <w:pPr>
        <w:spacing w:line="6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（三）存在的问题和原因</w:t>
      </w:r>
    </w:p>
    <w:p>
      <w:pPr>
        <w:spacing w:line="62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1、“两免”项目未完成目标任务。</w:t>
      </w:r>
    </w:p>
    <w:p>
      <w:pPr>
        <w:numPr>
          <w:ilvl w:val="0"/>
          <w:numId w:val="1"/>
        </w:numPr>
        <w:spacing w:line="620" w:lineRule="exact"/>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基层妇幼保健人员队伍不稳定，基层妇幼保健技术设备落后。</w:t>
      </w:r>
    </w:p>
    <w:p>
      <w:pPr>
        <w:numPr>
          <w:ilvl w:val="0"/>
          <w:numId w:val="1"/>
        </w:numPr>
        <w:spacing w:line="62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全市妇幼健康信息化落后，上报系统较多，信息无法互通。</w:t>
      </w:r>
    </w:p>
    <w:p>
      <w:pPr>
        <w:numPr>
          <w:ilvl w:val="0"/>
          <w:numId w:val="1"/>
        </w:numPr>
        <w:spacing w:line="620" w:lineRule="exact"/>
        <w:ind w:left="0" w:leftChars="0"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sz w:val="28"/>
          <w:szCs w:val="28"/>
          <w:highlight w:val="none"/>
          <w:lang w:val="en-US" w:eastAsia="zh-CN"/>
        </w:rPr>
        <w:t>居民对妇幼保健意识不强，普及妇幼卫生知识力度不够，效果不佳。</w:t>
      </w:r>
    </w:p>
    <w:p>
      <w:pPr>
        <w:numPr>
          <w:ilvl w:val="0"/>
          <w:numId w:val="1"/>
        </w:numPr>
        <w:spacing w:line="620" w:lineRule="exact"/>
        <w:ind w:left="0"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highlight w:val="none"/>
          <w:lang w:val="en-US" w:eastAsia="zh-CN"/>
        </w:rPr>
        <w:t>基本公卫妇保、儿保人员流动性大，服务质量不高。</w:t>
      </w:r>
    </w:p>
    <w:p>
      <w:pPr>
        <w:spacing w:line="6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（四）下一步拟改进措施</w:t>
      </w:r>
    </w:p>
    <w:p>
      <w:pPr>
        <w:numPr>
          <w:ilvl w:val="0"/>
          <w:numId w:val="0"/>
        </w:numPr>
        <w:adjustRightInd w:val="0"/>
        <w:snapToGrid w:val="0"/>
        <w:spacing w:line="360" w:lineRule="auto"/>
        <w:ind w:firstLine="562" w:firstLineChars="200"/>
        <w:jc w:val="left"/>
        <w:rPr>
          <w:rFonts w:hint="eastAsia" w:ascii="仿宋" w:hAnsi="仿宋" w:eastAsia="仿宋" w:cs="仿宋"/>
          <w:kern w:val="0"/>
          <w:sz w:val="28"/>
          <w:szCs w:val="28"/>
          <w:lang w:val="en-US" w:eastAsia="zh-CN" w:bidi="ar-SA"/>
        </w:rPr>
      </w:pPr>
      <w:r>
        <w:rPr>
          <w:rFonts w:hint="eastAsia" w:ascii="仿宋" w:hAnsi="仿宋" w:eastAsia="仿宋" w:cs="仿宋"/>
          <w:b/>
          <w:bCs/>
          <w:sz w:val="28"/>
          <w:szCs w:val="28"/>
          <w:lang w:val="en-US" w:eastAsia="zh-CN"/>
        </w:rPr>
        <w:t>1、湖北省妇幼保健机构绩效考核指标持续改进。一是</w:t>
      </w:r>
      <w:r>
        <w:rPr>
          <w:rFonts w:hint="eastAsia" w:ascii="仿宋" w:hAnsi="仿宋" w:eastAsia="仿宋" w:cs="仿宋"/>
          <w:b w:val="0"/>
          <w:bCs w:val="0"/>
          <w:sz w:val="28"/>
          <w:szCs w:val="28"/>
          <w:lang w:val="en-US" w:eastAsia="zh-CN"/>
        </w:rPr>
        <w:t>对孕产妇死亡、婴儿及5岁以下儿童死亡原因进行分析，结合基层公共卫生工作进一步强化妊娠风险评估和高危五色管理，开展内科合并症、新生儿窒息等危急抢救知识的培训和技能操作培训，提高基层妇幼保健人员对内科合并症、新生儿科“危、急、重”症的识别能力。</w:t>
      </w:r>
      <w:r>
        <w:rPr>
          <w:rFonts w:hint="eastAsia" w:ascii="仿宋" w:hAnsi="仿宋" w:eastAsia="仿宋" w:cs="仿宋"/>
          <w:b/>
          <w:bCs/>
          <w:sz w:val="28"/>
          <w:szCs w:val="28"/>
          <w:lang w:val="en-US" w:eastAsia="zh-CN"/>
        </w:rPr>
        <w:t>二是</w:t>
      </w:r>
      <w:r>
        <w:rPr>
          <w:rFonts w:hint="eastAsia" w:ascii="仿宋" w:hAnsi="仿宋" w:eastAsia="仿宋" w:cs="仿宋"/>
          <w:b w:val="0"/>
          <w:bCs w:val="0"/>
          <w:sz w:val="28"/>
          <w:szCs w:val="28"/>
          <w:lang w:val="en-US" w:eastAsia="zh-CN"/>
        </w:rPr>
        <w:t>对医院中级以上职称卫生专业人员定期下基层医疗单位以妇幼联盟等形式进行的指导，落实签到制；争取在健康联盟联络员的带领对每家联盟单位指导不少于一次，了解医院医疗服务质量，发放各种保健宣传资料，征集患者需求，改进服务；在疫情防控时期，采取线上线下培训指导相结合的方式，提高辖区业务指导卫技人员参与率及妇幼保健人员培训覆盖率。</w:t>
      </w:r>
    </w:p>
    <w:p>
      <w:pPr>
        <w:keepNext w:val="0"/>
        <w:keepLines w:val="0"/>
        <w:pageBreakBefore w:val="0"/>
        <w:kinsoku/>
        <w:wordWrap/>
        <w:overflowPunct/>
        <w:topLinePunct w:val="0"/>
        <w:bidi w:val="0"/>
        <w:adjustRightInd w:val="0"/>
        <w:snapToGrid w:val="0"/>
        <w:spacing w:line="560" w:lineRule="exact"/>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2、加强辖区妇幼卫生项目及“323”攻坚行动工作考核督导。</w:t>
      </w:r>
      <w:r>
        <w:rPr>
          <w:rFonts w:hint="eastAsia" w:ascii="仿宋" w:hAnsi="仿宋" w:eastAsia="仿宋" w:cs="仿宋"/>
          <w:sz w:val="28"/>
          <w:szCs w:val="28"/>
          <w:lang w:val="en-US" w:eastAsia="zh-CN"/>
        </w:rPr>
        <w:t>定期对辖区各卫生行政管理部门及各医疗卫生机构进行督导考核，考核重点包括免费婚前检查和孕前优生项目、新生儿筛查、新生儿听力、心脏病筛查、儿童眼保健项目等。及时了解项目实施情况，并定期通报考核结果。对不配合项目推进工作的单位和个人，必要时进行约谈，责令其制定整改计划并付诸实施。通过督导考核持续推进妇幼卫生项目进展，同时</w:t>
      </w:r>
      <w:r>
        <w:rPr>
          <w:rFonts w:hint="eastAsia" w:ascii="仿宋" w:hAnsi="仿宋" w:eastAsia="仿宋" w:cs="仿宋"/>
          <w:b w:val="0"/>
          <w:bCs/>
          <w:i w:val="0"/>
          <w:iCs w:val="0"/>
          <w:sz w:val="28"/>
          <w:szCs w:val="28"/>
          <w:lang w:val="en-US" w:eastAsia="zh-CN"/>
        </w:rPr>
        <w:t>切实履行我院作为黄石市出生缺陷防治中心职责，</w:t>
      </w:r>
      <w:r>
        <w:rPr>
          <w:rFonts w:hint="eastAsia" w:ascii="仿宋" w:hAnsi="仿宋" w:eastAsia="仿宋" w:cs="仿宋"/>
          <w:sz w:val="28"/>
          <w:szCs w:val="28"/>
          <w:lang w:val="en-US" w:eastAsia="zh-CN"/>
        </w:rPr>
        <w:t>不断推进“323”攻坚行动出生缺陷综合防治工作。</w:t>
      </w:r>
    </w:p>
    <w:p>
      <w:pPr>
        <w:pStyle w:val="2"/>
        <w:keepNext w:val="0"/>
        <w:keepLines w:val="0"/>
        <w:pageBreakBefore w:val="0"/>
        <w:kinsoku/>
        <w:wordWrap/>
        <w:overflowPunct/>
        <w:topLinePunct w:val="0"/>
        <w:bidi w:val="0"/>
        <w:adjustRightInd w:val="0"/>
        <w:snapToGrid w:val="0"/>
        <w:spacing w:before="0" w:after="0" w:line="560" w:lineRule="exact"/>
        <w:ind w:firstLine="562"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3、加强与基层妇幼保健人员密切联系，积极推动基本公卫项目开展。</w:t>
      </w:r>
      <w:r>
        <w:rPr>
          <w:rFonts w:hint="eastAsia" w:ascii="仿宋" w:hAnsi="仿宋" w:eastAsia="仿宋" w:cs="仿宋"/>
          <w:b w:val="0"/>
          <w:bCs w:val="0"/>
          <w:sz w:val="28"/>
          <w:szCs w:val="28"/>
          <w:lang w:val="en-US" w:eastAsia="zh-CN"/>
        </w:rPr>
        <w:t>在疫情防控常态化期间，各基层医疗卫生机构各项任务繁重，妇幼保健人员常常身兼数职，基本公卫项目进展缓慢。我们要加强与基层妇幼保健人员的紧密联系，一对一及时帮助解决项目执行中的技术难题，积极开展基本公卫培训新模式，确保基本公卫培训效果，切实提高基层服务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562"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bCs/>
          <w:i w:val="0"/>
          <w:caps w:val="0"/>
          <w:color w:val="auto"/>
          <w:spacing w:val="0"/>
          <w:kern w:val="2"/>
          <w:sz w:val="28"/>
          <w:szCs w:val="28"/>
          <w:shd w:val="clear" w:color="auto" w:fill="FFFFFF"/>
          <w:lang w:val="en-US" w:eastAsia="zh-CN" w:bidi="ar-SA"/>
        </w:rPr>
        <w:t>4、进一步提升医务人员参与科普积极性，加大健康宣教力度。</w:t>
      </w:r>
      <w:r>
        <w:rPr>
          <w:rFonts w:hint="eastAsia" w:ascii="仿宋" w:hAnsi="仿宋" w:eastAsia="仿宋" w:cs="仿宋"/>
          <w:b w:val="0"/>
          <w:bCs w:val="0"/>
          <w:i w:val="0"/>
          <w:caps w:val="0"/>
          <w:color w:val="auto"/>
          <w:spacing w:val="0"/>
          <w:kern w:val="2"/>
          <w:sz w:val="28"/>
          <w:szCs w:val="28"/>
          <w:shd w:val="clear" w:color="auto" w:fill="FFFFFF"/>
          <w:lang w:val="en-US" w:eastAsia="zh-CN" w:bidi="ar-SA"/>
        </w:rPr>
        <w:t>及时兑现每季度健康教育考核奖惩，</w:t>
      </w:r>
      <w:r>
        <w:rPr>
          <w:rFonts w:hint="eastAsia" w:ascii="仿宋" w:hAnsi="仿宋" w:eastAsia="仿宋" w:cs="仿宋"/>
          <w:b w:val="0"/>
          <w:bCs w:val="0"/>
          <w:i w:val="0"/>
          <w:caps w:val="0"/>
          <w:color w:val="000000"/>
          <w:spacing w:val="0"/>
          <w:sz w:val="28"/>
          <w:szCs w:val="28"/>
        </w:rPr>
        <w:t>激发医务人员个人的活力和动力，让越来越多的医务人员想做科普、能做科普，而且做得越来越好、越来越有成效。</w:t>
      </w:r>
      <w:r>
        <w:rPr>
          <w:rFonts w:hint="eastAsia" w:ascii="仿宋" w:hAnsi="仿宋" w:eastAsia="仿宋" w:cs="仿宋"/>
          <w:b w:val="0"/>
          <w:bCs w:val="0"/>
          <w:i w:val="0"/>
          <w:caps w:val="0"/>
          <w:color w:val="000000"/>
          <w:spacing w:val="0"/>
          <w:sz w:val="28"/>
          <w:szCs w:val="28"/>
          <w:lang w:eastAsia="zh-CN"/>
        </w:rPr>
        <w:t>加大健康宣教力度，</w:t>
      </w:r>
      <w:r>
        <w:rPr>
          <w:rFonts w:hint="eastAsia" w:ascii="仿宋" w:hAnsi="仿宋" w:eastAsia="仿宋" w:cs="仿宋"/>
          <w:b/>
          <w:bCs/>
          <w:i w:val="0"/>
          <w:caps w:val="0"/>
          <w:color w:val="auto"/>
          <w:spacing w:val="0"/>
          <w:kern w:val="2"/>
          <w:sz w:val="28"/>
          <w:szCs w:val="28"/>
          <w:shd w:val="clear" w:color="auto" w:fill="FFFFFF"/>
          <w:lang w:val="en-US" w:eastAsia="zh-CN" w:bidi="ar-SA"/>
        </w:rPr>
        <w:t>一</w:t>
      </w:r>
      <w:r>
        <w:rPr>
          <w:rFonts w:hint="eastAsia" w:ascii="仿宋" w:hAnsi="仿宋" w:eastAsia="仿宋" w:cs="仿宋"/>
          <w:b w:val="0"/>
          <w:bCs w:val="0"/>
          <w:i w:val="0"/>
          <w:caps w:val="0"/>
          <w:color w:val="auto"/>
          <w:spacing w:val="0"/>
          <w:kern w:val="2"/>
          <w:sz w:val="28"/>
          <w:szCs w:val="28"/>
          <w:shd w:val="clear" w:color="auto" w:fill="FFFFFF"/>
          <w:lang w:val="en-US" w:eastAsia="zh-CN" w:bidi="ar-SA"/>
        </w:rPr>
        <w:t>是</w:t>
      </w:r>
      <w:r>
        <w:rPr>
          <w:rFonts w:hint="eastAsia" w:ascii="仿宋" w:hAnsi="仿宋" w:eastAsia="仿宋" w:cs="仿宋"/>
          <w:b w:val="0"/>
          <w:bCs w:val="0"/>
          <w:i w:val="0"/>
          <w:caps w:val="0"/>
          <w:color w:val="auto"/>
          <w:spacing w:val="0"/>
          <w:kern w:val="2"/>
          <w:sz w:val="28"/>
          <w:szCs w:val="28"/>
          <w:shd w:val="clear" w:color="auto" w:fill="FFFFFF"/>
          <w:lang w:val="en-US" w:eastAsia="zh-CN" w:bidi="ar-SA"/>
        </w:rPr>
        <w:t>扩展媒体宣传渠道,特别是加大微信、QQ、短视频APP这些受众广的网络社交平台宣传妇幼保健项目，大力普及妇幼卫生健康知识,提倡健康生活方式，引导群众积极主动参加到妇幼健康项目当中；二是</w:t>
      </w:r>
      <w:r>
        <w:rPr>
          <w:rFonts w:hint="eastAsia" w:ascii="仿宋" w:hAnsi="仿宋" w:eastAsia="仿宋" w:cs="仿宋"/>
          <w:b w:val="0"/>
          <w:kern w:val="2"/>
          <w:sz w:val="28"/>
          <w:szCs w:val="28"/>
          <w:lang w:val="en-US" w:eastAsia="zh-CN" w:bidi="ar-SA"/>
        </w:rPr>
        <w:t>持续做好医院产前、产后随访工作及医院新技术、新项目和新设备的推广宣传，继续深入社区、企业、学校、托幼机构</w:t>
      </w:r>
      <w:r>
        <w:rPr>
          <w:rFonts w:hint="eastAsia" w:ascii="仿宋" w:hAnsi="仿宋" w:eastAsia="仿宋" w:cs="仿宋"/>
          <w:b w:val="0"/>
          <w:kern w:val="0"/>
          <w:sz w:val="28"/>
          <w:szCs w:val="28"/>
          <w:lang w:val="en-US" w:eastAsia="zh-CN"/>
        </w:rPr>
        <w:t>积极</w:t>
      </w:r>
      <w:r>
        <w:rPr>
          <w:rFonts w:hint="eastAsia" w:ascii="仿宋" w:hAnsi="仿宋" w:eastAsia="仿宋" w:cs="仿宋"/>
          <w:b w:val="0"/>
          <w:kern w:val="2"/>
          <w:sz w:val="28"/>
          <w:szCs w:val="28"/>
          <w:lang w:val="en-US" w:eastAsia="zh-CN" w:bidi="ar-SA"/>
        </w:rPr>
        <w:t>利用讲座、义诊、宣传单等多种形式开展活动，为广大群众提供优质医疗服务；三是要</w:t>
      </w:r>
      <w:r>
        <w:rPr>
          <w:rFonts w:hint="eastAsia" w:ascii="仿宋" w:hAnsi="仿宋" w:eastAsia="仿宋" w:cs="仿宋"/>
          <w:sz w:val="28"/>
          <w:szCs w:val="28"/>
          <w:lang w:val="en-US" w:eastAsia="zh-CN"/>
        </w:rPr>
        <w:t>同时抓住</w:t>
      </w:r>
      <w:r>
        <w:rPr>
          <w:rFonts w:hint="eastAsia" w:ascii="仿宋" w:hAnsi="仿宋" w:eastAsia="仿宋" w:cs="仿宋"/>
          <w:sz w:val="28"/>
          <w:szCs w:val="28"/>
          <w:lang w:eastAsia="zh-CN"/>
        </w:rPr>
        <w:t>医院</w:t>
      </w:r>
      <w:r>
        <w:rPr>
          <w:rFonts w:hint="eastAsia" w:ascii="仿宋" w:hAnsi="仿宋" w:eastAsia="仿宋" w:cs="仿宋"/>
          <w:sz w:val="28"/>
          <w:szCs w:val="28"/>
          <w:lang w:val="en-US" w:eastAsia="zh-CN"/>
        </w:rPr>
        <w:t>5号楼搬迁、母乳喂养周</w:t>
      </w:r>
      <w:r>
        <w:rPr>
          <w:rFonts w:hint="eastAsia" w:ascii="仿宋" w:hAnsi="仿宋" w:eastAsia="仿宋" w:cs="仿宋"/>
          <w:sz w:val="28"/>
          <w:szCs w:val="28"/>
        </w:rPr>
        <w:t>等</w:t>
      </w:r>
      <w:r>
        <w:rPr>
          <w:rFonts w:hint="eastAsia" w:ascii="仿宋" w:hAnsi="仿宋" w:eastAsia="仿宋" w:cs="仿宋"/>
          <w:sz w:val="28"/>
          <w:szCs w:val="28"/>
          <w:lang w:eastAsia="zh-CN"/>
        </w:rPr>
        <w:t>契机</w:t>
      </w:r>
      <w:r>
        <w:rPr>
          <w:rFonts w:hint="eastAsia" w:ascii="仿宋" w:hAnsi="仿宋" w:eastAsia="仿宋" w:cs="仿宋"/>
          <w:sz w:val="28"/>
          <w:szCs w:val="28"/>
        </w:rPr>
        <w:t>，联合市卫健委、市妇联、市教育局等部门，举办大型公益活动，扩大</w:t>
      </w:r>
      <w:r>
        <w:rPr>
          <w:rFonts w:hint="eastAsia" w:ascii="仿宋" w:hAnsi="仿宋" w:eastAsia="仿宋" w:cs="仿宋"/>
          <w:sz w:val="28"/>
          <w:szCs w:val="28"/>
          <w:lang w:eastAsia="zh-CN"/>
        </w:rPr>
        <w:t>社会影响</w:t>
      </w:r>
      <w:r>
        <w:rPr>
          <w:rFonts w:hint="eastAsia" w:ascii="仿宋" w:hAnsi="仿宋" w:eastAsia="仿宋" w:cs="仿宋"/>
          <w:sz w:val="28"/>
          <w:szCs w:val="28"/>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562" w:firstLineChars="200"/>
        <w:textAlignment w:val="auto"/>
        <w:rPr>
          <w:rFonts w:hint="eastAsia" w:ascii="仿宋" w:hAnsi="仿宋" w:eastAsia="仿宋" w:cs="仿宋"/>
          <w:b/>
          <w:kern w:val="0"/>
          <w:sz w:val="28"/>
          <w:szCs w:val="28"/>
        </w:rPr>
      </w:pPr>
      <w:r>
        <w:rPr>
          <w:rFonts w:hint="eastAsia" w:ascii="仿宋" w:hAnsi="仿宋" w:eastAsia="仿宋" w:cs="仿宋"/>
          <w:b/>
          <w:bCs/>
          <w:kern w:val="2"/>
          <w:sz w:val="28"/>
          <w:szCs w:val="28"/>
          <w:lang w:val="en-US" w:eastAsia="zh-CN" w:bidi="ar-SA"/>
        </w:rPr>
        <w:t>5、加强托幼机构管理。</w:t>
      </w:r>
      <w:r>
        <w:rPr>
          <w:rFonts w:hint="eastAsia" w:ascii="仿宋" w:hAnsi="仿宋" w:eastAsia="仿宋" w:cs="仿宋"/>
          <w:b w:val="0"/>
          <w:kern w:val="2"/>
          <w:sz w:val="28"/>
          <w:szCs w:val="28"/>
          <w:lang w:val="en-US" w:eastAsia="zh-CN" w:bidi="ar-SA"/>
        </w:rPr>
        <w:t>继续完成全市新申请托幼及托育机构卫生保健评审工作，督促不合格机构及时整改。计划开展全市保健医及保育员卫生保健培</w:t>
      </w:r>
      <w:r>
        <w:rPr>
          <w:rFonts w:hint="eastAsia" w:ascii="仿宋" w:hAnsi="仿宋" w:eastAsia="仿宋" w:cs="仿宋"/>
          <w:color w:val="auto"/>
          <w:sz w:val="28"/>
          <w:szCs w:val="28"/>
          <w:lang w:val="en-US" w:eastAsia="zh-CN"/>
        </w:rPr>
        <w:t>训工作，提升托幼及托育机构预防保健技能。同时加强与幼儿园沟通，在遵守防疫前提下，组织相关专家赴幼儿园开展健康知识讲座。抓好体检缺点儿童追踪工作，力争增设幼儿园体检项目，加大对我院新技术新业务的宣传推广。</w:t>
      </w:r>
    </w:p>
    <w:p>
      <w:pPr>
        <w:ind w:firstLine="562" w:firstLineChars="200"/>
        <w:rPr>
          <w:rFonts w:hint="eastAsia" w:ascii="仿宋" w:hAnsi="仿宋" w:eastAsia="仿宋" w:cs="仿宋"/>
          <w:sz w:val="28"/>
          <w:szCs w:val="28"/>
        </w:rPr>
      </w:pPr>
      <w:r>
        <w:rPr>
          <w:rFonts w:hint="eastAsia" w:ascii="仿宋" w:hAnsi="仿宋" w:eastAsia="仿宋" w:cs="仿宋"/>
          <w:b/>
          <w:bCs/>
          <w:kern w:val="2"/>
          <w:sz w:val="28"/>
          <w:szCs w:val="28"/>
          <w:lang w:val="en-US" w:eastAsia="zh-CN" w:bidi="ar-SA"/>
        </w:rPr>
        <w:t>6、推动妇幼健康联盟建设，提高双向转诊率。</w:t>
      </w:r>
      <w:r>
        <w:rPr>
          <w:rFonts w:hint="eastAsia" w:ascii="仿宋" w:hAnsi="仿宋" w:eastAsia="仿宋" w:cs="仿宋"/>
          <w:b w:val="0"/>
          <w:kern w:val="2"/>
          <w:sz w:val="28"/>
          <w:szCs w:val="28"/>
          <w:lang w:val="en-US" w:eastAsia="zh-CN" w:bidi="ar-SA"/>
        </w:rPr>
        <w:t>（1）建立双向转诊运行机制。制定医院《双向转诊管理办法》；建立医院、职能管理部门、临床业务科室层级管理制度，明确责任；临床科室成立双向转诊工作质控小组，兼职管理员负责科室转诊工作和质量控制。（2）落实双向转诊“三优惠”制度。建立转诊绿色通道和预约登记制度；实行转诊“三优惠”制度，确保病人“免挂号费、优先安排床位、优先做好救治准备”。（3）严格双向转诊工作管理。实行转入病人追踪和转回病人回访制度，明确管床医生在病人转回3天内进行电话回访和提出康复治疗指导意见；保健部每月追踪抽查下级医院和转回病人对转诊工作反映和对医疗服务意见。定期召开双向转诊专题会总结分析工作，研究制定改进推进措施。（4）举办联盟成员单位座谈会议及技能比赛，做到互通有无，优势互补，巩固联盟成员单位合作关系，扩大联盟影响。（5）定期下基层。院领导班子成员分片带专家下基层，充分发挥自身业务水平，临床经验丰富的优势，为推进基层妇幼服务能力提升做出帮扶。（6）依托危重孕产妇救治、新生儿危急重症救治两个中心，发挥危重孕产妇、新生儿救治的专科特色，转运高效的危重孕产妇和新生儿急救工作网络。</w:t>
      </w:r>
    </w:p>
    <w:p>
      <w:pPr>
        <w:spacing w:line="6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2021</w:t>
      </w:r>
      <w:r>
        <w:rPr>
          <w:rFonts w:hint="eastAsia" w:ascii="仿宋" w:hAnsi="仿宋" w:eastAsia="仿宋" w:cs="仿宋"/>
          <w:sz w:val="28"/>
          <w:szCs w:val="28"/>
          <w:highlight w:val="none"/>
        </w:rPr>
        <w:t>年度</w:t>
      </w:r>
      <w:r>
        <w:rPr>
          <w:rFonts w:hint="eastAsia" w:ascii="仿宋" w:hAnsi="仿宋" w:eastAsia="仿宋" w:cs="仿宋"/>
          <w:sz w:val="28"/>
          <w:szCs w:val="28"/>
          <w:highlight w:val="none"/>
          <w:lang w:val="en-US" w:eastAsia="zh-CN"/>
        </w:rPr>
        <w:t>基本公共卫生服务和重大公共卫生服务</w:t>
      </w:r>
      <w:r>
        <w:rPr>
          <w:rFonts w:hint="eastAsia" w:ascii="仿宋" w:hAnsi="仿宋" w:eastAsia="仿宋" w:cs="仿宋"/>
          <w:sz w:val="28"/>
          <w:szCs w:val="28"/>
          <w:highlight w:val="none"/>
        </w:rPr>
        <w:t>项目自评表（附后）</w:t>
      </w:r>
    </w:p>
    <w:p>
      <w:pPr>
        <w:spacing w:line="62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二、佐证材料</w:t>
      </w:r>
    </w:p>
    <w:p>
      <w:pPr>
        <w:spacing w:line="6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（一）基本情况</w:t>
      </w:r>
    </w:p>
    <w:p>
      <w:pPr>
        <w:ind w:firstLine="562" w:firstLineChars="200"/>
        <w:rPr>
          <w:rFonts w:hint="eastAsia" w:ascii="仿宋" w:hAnsi="仿宋" w:eastAsia="仿宋" w:cs="仿宋"/>
          <w:kern w:val="0"/>
          <w:sz w:val="28"/>
          <w:szCs w:val="28"/>
          <w:highlight w:val="none"/>
        </w:rPr>
      </w:pPr>
      <w:r>
        <w:rPr>
          <w:rFonts w:hint="eastAsia" w:ascii="仿宋" w:hAnsi="仿宋" w:eastAsia="仿宋" w:cs="仿宋"/>
          <w:b/>
          <w:bCs/>
          <w:kern w:val="0"/>
          <w:sz w:val="28"/>
          <w:szCs w:val="28"/>
          <w:highlight w:val="none"/>
          <w:lang w:val="en-US" w:eastAsia="zh-CN"/>
        </w:rPr>
        <w:t>⑴</w:t>
      </w:r>
      <w:r>
        <w:rPr>
          <w:rFonts w:hint="eastAsia" w:ascii="仿宋" w:hAnsi="仿宋" w:eastAsia="仿宋" w:cs="仿宋"/>
          <w:b/>
          <w:bCs/>
          <w:kern w:val="0"/>
          <w:sz w:val="28"/>
          <w:szCs w:val="28"/>
          <w:highlight w:val="none"/>
        </w:rPr>
        <w:t>加强组织领导。</w:t>
      </w:r>
      <w:r>
        <w:rPr>
          <w:rFonts w:hint="eastAsia" w:ascii="仿宋" w:hAnsi="仿宋" w:eastAsia="仿宋" w:cs="仿宋"/>
          <w:kern w:val="0"/>
          <w:sz w:val="28"/>
          <w:szCs w:val="28"/>
          <w:highlight w:val="none"/>
        </w:rPr>
        <w:t>全市各级</w:t>
      </w:r>
      <w:r>
        <w:rPr>
          <w:rFonts w:hint="eastAsia" w:ascii="仿宋" w:hAnsi="仿宋" w:eastAsia="仿宋" w:cs="仿宋"/>
          <w:kern w:val="0"/>
          <w:sz w:val="28"/>
          <w:szCs w:val="28"/>
          <w:highlight w:val="none"/>
          <w:lang w:eastAsia="zh-CN"/>
        </w:rPr>
        <w:t>卫建委</w:t>
      </w:r>
      <w:r>
        <w:rPr>
          <w:rFonts w:hint="eastAsia" w:ascii="仿宋" w:hAnsi="仿宋" w:eastAsia="仿宋" w:cs="仿宋"/>
          <w:kern w:val="0"/>
          <w:sz w:val="28"/>
          <w:szCs w:val="28"/>
          <w:highlight w:val="none"/>
        </w:rPr>
        <w:t>高度重视妇幼重大公共卫生项目</w:t>
      </w:r>
      <w:r>
        <w:rPr>
          <w:rFonts w:hint="eastAsia" w:ascii="仿宋" w:hAnsi="仿宋" w:eastAsia="仿宋" w:cs="仿宋"/>
          <w:kern w:val="0"/>
          <w:sz w:val="28"/>
          <w:szCs w:val="28"/>
          <w:highlight w:val="none"/>
          <w:lang w:eastAsia="zh-CN"/>
        </w:rPr>
        <w:t>和基本公共卫生项目</w:t>
      </w:r>
      <w:r>
        <w:rPr>
          <w:rFonts w:hint="eastAsia" w:ascii="仿宋" w:hAnsi="仿宋" w:eastAsia="仿宋" w:cs="仿宋"/>
          <w:kern w:val="0"/>
          <w:sz w:val="28"/>
          <w:szCs w:val="28"/>
          <w:highlight w:val="none"/>
        </w:rPr>
        <w:t>工作，建立了项目领导小组，设立了项目管理办公室，负责项目组织的管理和实施。</w:t>
      </w:r>
    </w:p>
    <w:p>
      <w:pPr>
        <w:ind w:firstLine="562" w:firstLineChars="200"/>
        <w:rPr>
          <w:rFonts w:hint="eastAsia" w:ascii="仿宋" w:hAnsi="仿宋" w:eastAsia="仿宋" w:cs="仿宋"/>
          <w:kern w:val="0"/>
          <w:sz w:val="28"/>
          <w:szCs w:val="28"/>
          <w:highlight w:val="none"/>
        </w:rPr>
      </w:pPr>
      <w:r>
        <w:rPr>
          <w:rFonts w:hint="eastAsia" w:ascii="仿宋" w:hAnsi="仿宋" w:eastAsia="仿宋" w:cs="仿宋"/>
          <w:b/>
          <w:bCs/>
          <w:kern w:val="0"/>
          <w:sz w:val="28"/>
          <w:szCs w:val="28"/>
          <w:highlight w:val="none"/>
          <w:lang w:val="en-US" w:eastAsia="zh-CN"/>
        </w:rPr>
        <w:t>⑵</w:t>
      </w:r>
      <w:r>
        <w:rPr>
          <w:rFonts w:hint="eastAsia" w:ascii="仿宋" w:hAnsi="仿宋" w:eastAsia="仿宋" w:cs="仿宋"/>
          <w:b/>
          <w:bCs/>
          <w:kern w:val="0"/>
          <w:sz w:val="28"/>
          <w:szCs w:val="28"/>
          <w:highlight w:val="none"/>
        </w:rPr>
        <w:t>制定项目方案。</w:t>
      </w:r>
      <w:r>
        <w:rPr>
          <w:rFonts w:hint="eastAsia" w:ascii="仿宋" w:hAnsi="仿宋" w:eastAsia="仿宋" w:cs="仿宋"/>
          <w:kern w:val="0"/>
          <w:sz w:val="28"/>
          <w:szCs w:val="28"/>
          <w:highlight w:val="none"/>
        </w:rPr>
        <w:t>根据省项目文件要求，结合我市实际，各级</w:t>
      </w:r>
      <w:r>
        <w:rPr>
          <w:rFonts w:hint="eastAsia" w:ascii="仿宋" w:hAnsi="仿宋" w:eastAsia="仿宋" w:cs="仿宋"/>
          <w:kern w:val="0"/>
          <w:sz w:val="28"/>
          <w:szCs w:val="28"/>
          <w:highlight w:val="none"/>
          <w:lang w:eastAsia="zh-CN"/>
        </w:rPr>
        <w:t>卫建委</w:t>
      </w:r>
      <w:r>
        <w:rPr>
          <w:rFonts w:hint="eastAsia" w:ascii="仿宋" w:hAnsi="仿宋" w:eastAsia="仿宋" w:cs="仿宋"/>
          <w:kern w:val="0"/>
          <w:sz w:val="28"/>
          <w:szCs w:val="28"/>
          <w:highlight w:val="none"/>
        </w:rPr>
        <w:t>组织专家制定了重大公共卫生项目</w:t>
      </w:r>
      <w:r>
        <w:rPr>
          <w:rFonts w:hint="eastAsia" w:ascii="仿宋" w:hAnsi="仿宋" w:eastAsia="仿宋" w:cs="仿宋"/>
          <w:kern w:val="0"/>
          <w:sz w:val="28"/>
          <w:szCs w:val="28"/>
          <w:highlight w:val="none"/>
          <w:lang w:eastAsia="zh-CN"/>
        </w:rPr>
        <w:t>和基本公共卫生项目</w:t>
      </w:r>
      <w:r>
        <w:rPr>
          <w:rFonts w:hint="eastAsia" w:ascii="仿宋" w:hAnsi="仿宋" w:eastAsia="仿宋" w:cs="仿宋"/>
          <w:kern w:val="0"/>
          <w:sz w:val="28"/>
          <w:szCs w:val="28"/>
          <w:highlight w:val="none"/>
        </w:rPr>
        <w:t>的实施方案。</w:t>
      </w:r>
    </w:p>
    <w:p>
      <w:pPr>
        <w:keepNext w:val="0"/>
        <w:keepLines w:val="0"/>
        <w:pageBreakBefore w:val="0"/>
        <w:numPr>
          <w:ilvl w:val="0"/>
          <w:numId w:val="0"/>
        </w:numPr>
        <w:kinsoku/>
        <w:wordWrap/>
        <w:overflowPunct/>
        <w:topLinePunct w:val="0"/>
        <w:bidi w:val="0"/>
        <w:snapToGrid w:val="0"/>
        <w:spacing w:line="360" w:lineRule="auto"/>
        <w:ind w:firstLine="562" w:firstLineChars="200"/>
        <w:textAlignment w:val="auto"/>
        <w:outlineLvl w:val="9"/>
        <w:rPr>
          <w:rFonts w:hint="eastAsia" w:ascii="仿宋" w:hAnsi="仿宋" w:eastAsia="仿宋" w:cs="仿宋"/>
          <w:b/>
          <w:bCs/>
          <w:sz w:val="28"/>
          <w:szCs w:val="28"/>
          <w:highlight w:val="none"/>
          <w:lang w:eastAsia="zh-CN"/>
        </w:rPr>
      </w:pPr>
      <w:r>
        <w:rPr>
          <w:rFonts w:hint="eastAsia" w:ascii="仿宋" w:hAnsi="仿宋" w:eastAsia="仿宋" w:cs="仿宋"/>
          <w:b/>
          <w:bCs/>
          <w:kern w:val="0"/>
          <w:sz w:val="28"/>
          <w:szCs w:val="28"/>
          <w:highlight w:val="none"/>
        </w:rPr>
        <w:t>⑶</w:t>
      </w:r>
      <w:r>
        <w:rPr>
          <w:rFonts w:hint="eastAsia" w:ascii="仿宋" w:hAnsi="仿宋" w:eastAsia="仿宋" w:cs="仿宋"/>
          <w:b/>
          <w:bCs/>
          <w:sz w:val="28"/>
          <w:szCs w:val="28"/>
          <w:highlight w:val="none"/>
        </w:rPr>
        <w:t>加大妇幼公共卫生健康教育宣传</w:t>
      </w:r>
      <w:r>
        <w:rPr>
          <w:rFonts w:hint="eastAsia" w:ascii="仿宋" w:hAnsi="仿宋" w:eastAsia="仿宋" w:cs="仿宋"/>
          <w:b/>
          <w:bCs/>
          <w:sz w:val="28"/>
          <w:szCs w:val="28"/>
          <w:highlight w:val="none"/>
          <w:lang w:eastAsia="zh-CN"/>
        </w:rPr>
        <w:t>。</w:t>
      </w:r>
    </w:p>
    <w:p>
      <w:pPr>
        <w:keepNext w:val="0"/>
        <w:keepLines w:val="0"/>
        <w:pageBreakBefore w:val="0"/>
        <w:numPr>
          <w:ilvl w:val="0"/>
          <w:numId w:val="0"/>
        </w:numPr>
        <w:kinsoku/>
        <w:wordWrap/>
        <w:overflowPunct/>
        <w:topLinePunct w:val="0"/>
        <w:bidi w:val="0"/>
        <w:snapToGrid w:val="0"/>
        <w:spacing w:line="360" w:lineRule="auto"/>
        <w:ind w:firstLine="560" w:firstLineChars="200"/>
        <w:textAlignment w:val="auto"/>
        <w:outlineLvl w:val="9"/>
        <w:rPr>
          <w:rFonts w:hint="eastAsia" w:ascii="仿宋" w:hAnsi="仿宋" w:eastAsia="仿宋" w:cs="仿宋"/>
          <w:b w:val="0"/>
          <w:bCs w:val="0"/>
          <w:sz w:val="28"/>
          <w:szCs w:val="28"/>
          <w:highlight w:val="none"/>
        </w:rPr>
      </w:pPr>
      <w:r>
        <w:rPr>
          <w:rFonts w:hint="eastAsia" w:ascii="仿宋" w:hAnsi="仿宋" w:eastAsia="仿宋" w:cs="仿宋"/>
          <w:sz w:val="28"/>
          <w:szCs w:val="28"/>
          <w:highlight w:val="none"/>
        </w:rPr>
        <w:t>1、院内制定了规范的健康教育流程，建立患者（或家属）健康教育评估机制，在诊疗过程中，医护人员对患者饮食、心理等主要生活方式与危险因素以及文化风俗习惯等进行评估，通过系统化、多样化的宣教形式为患者提供改进健康、促进疾病好转的健康教育指导。患者出院时，给予患者（或家属）出院健康促进指导建议。患者出院</w:t>
      </w:r>
      <w:r>
        <w:rPr>
          <w:rFonts w:hint="eastAsia" w:ascii="仿宋" w:hAnsi="仿宋" w:eastAsia="仿宋" w:cs="仿宋"/>
          <w:b w:val="0"/>
          <w:bCs w:val="0"/>
          <w:sz w:val="28"/>
          <w:szCs w:val="28"/>
          <w:highlight w:val="none"/>
        </w:rPr>
        <w:t>后，继续通过患者随访等方式提供健康促进服务和康复指导。</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highlight w:val="none"/>
        </w:rPr>
        <w:t>2、特色健康教育活动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充分发挥健康联盟平台，依托黄石市妇幼保健院特色专科和优势技术的辐射功能，以妇女保健、儿童保健、孕产保健、计划生育技术服务等为切入点，推动优质资源下沉</w:t>
      </w:r>
      <w:r>
        <w:rPr>
          <w:rFonts w:hint="eastAsia" w:ascii="仿宋" w:hAnsi="仿宋" w:eastAsia="仿宋" w:cs="仿宋"/>
          <w:b w:val="0"/>
          <w:bCs w:val="0"/>
          <w:sz w:val="28"/>
          <w:szCs w:val="28"/>
          <w:highlight w:val="none"/>
          <w:lang w:eastAsia="zh-CN"/>
        </w:rPr>
        <w:t>。⑴</w:t>
      </w:r>
      <w:r>
        <w:rPr>
          <w:rFonts w:hint="eastAsia" w:ascii="仿宋" w:hAnsi="仿宋" w:eastAsia="仿宋" w:cs="仿宋"/>
          <w:b w:val="0"/>
          <w:bCs w:val="0"/>
          <w:sz w:val="28"/>
          <w:szCs w:val="28"/>
          <w:lang w:val="en-US" w:eastAsia="zh-CN"/>
        </w:rPr>
        <w:t>孕妇学校课堂：2021年共开展320期孕妇学校课堂，其中268期线下必修课和选修课，21期手工课，31期瑜伽课；线上云课堂9期， 直播课堂 4 期。受众22758人次 。 ⑵健康大讲坛： 开展电视门诊《健康大讲坛》9期。《健康大讲坛》栏目以传播医学前沿的最新动态、提倡积极健康的养生理念，介绍早期防病的实用高招、分析临床治疗的典型病例、共建和谐平等的医患关系为宗旨，每周三晚准时在黄石电视台都市频道现场直播，周四晚重播一次。⑶微信课堂：今年开展线上微信课堂33次 ，由骨干护士讲授育儿相关知识，并群接龙形式收集育儿问题，最后由医师进行答疑。⑷在城区开展9场次关于“基本公共卫生服务项目”、“药物合理应用”、“公卫人员妇幼报表指导”等培训，基层医疗人员参与600余人次。组织儿科、儿保科专家开展42场托幼机构的健康知识讲座，受众达3000余人。提升基层医疗卫生机构的妇幼卫生服务能力，让老百姓在家门口享受到优质高效便捷的保健特色服务。</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加大妇幼公共卫生健康教育宣传。出台激励引导政策，形成健康科普工作合力，打造健康科普品牌。较好的完成了2021年妇幼保健机构绩效考核指标7工作任务—辖区健康教育活动覆盖率,健康教育科普前50个作品平均浏览量达39639人次；2021年更新湖北省基本公共卫生服务健康教育宣传栏及黄石市国家卫生城市健康教育宣传栏及科普宣传海报信息 80期；更新电子显示屏科普视频及宣传标语80余条；医院自媒体平台发表新科普共150余篇、地方媒体发表科普80余篇；申请印制控烟、疫情防控及妇儿相关健康教育宣传资料约30000余份，发放宣传资料20000余份。利用各类媒体资源，组织开展丰富多彩的健康宣教活动，实现线上线下联动，走进社区、学校、托幼机构、企业开展健康知识讲座共计77场，受众达3000余人；并在第七届全民营养周总结及表彰大会上，黄石市妇幼保健院荣获“ 全民营养周湖北省组织示范单位” 和“ 全民营养周湖北省优秀个人奖 ”共4个省级奖项。</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38"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bCs/>
          <w:spacing w:val="-6"/>
          <w:sz w:val="28"/>
          <w:szCs w:val="28"/>
          <w:highlight w:val="none"/>
          <w:shd w:val="clear" w:color="auto" w:fill="FFFFFF"/>
          <w:lang w:eastAsia="zh-CN"/>
        </w:rPr>
        <w:t>⑷依托妇幼</w:t>
      </w:r>
      <w:r>
        <w:rPr>
          <w:rFonts w:hint="eastAsia" w:ascii="仿宋" w:hAnsi="仿宋" w:eastAsia="仿宋" w:cs="仿宋"/>
          <w:b/>
          <w:bCs/>
          <w:spacing w:val="-6"/>
          <w:sz w:val="28"/>
          <w:szCs w:val="28"/>
          <w:highlight w:val="none"/>
          <w:shd w:val="clear" w:color="auto" w:fill="FFFFFF"/>
        </w:rPr>
        <w:t>健康联盟</w:t>
      </w:r>
      <w:r>
        <w:rPr>
          <w:rFonts w:hint="eastAsia" w:ascii="仿宋" w:hAnsi="仿宋" w:eastAsia="仿宋" w:cs="仿宋"/>
          <w:b/>
          <w:bCs/>
          <w:spacing w:val="-6"/>
          <w:sz w:val="28"/>
          <w:szCs w:val="28"/>
          <w:highlight w:val="none"/>
          <w:shd w:val="clear" w:color="auto" w:fill="FFFFFF"/>
          <w:lang w:eastAsia="zh-CN"/>
        </w:rPr>
        <w:t>：</w:t>
      </w:r>
      <w:r>
        <w:rPr>
          <w:rFonts w:hint="eastAsia" w:ascii="仿宋" w:hAnsi="仿宋" w:eastAsia="仿宋" w:cs="仿宋"/>
          <w:b w:val="0"/>
          <w:bCs w:val="0"/>
          <w:sz w:val="28"/>
          <w:szCs w:val="28"/>
          <w:lang w:val="en-US" w:eastAsia="zh-CN"/>
        </w:rPr>
        <w:t>⑴优质服务，强化基层保健。2021年，发挥妇幼保健职能，积极促进联盟成员单位要加强合作联系，通过联盟平台、组织专家赴基层帮扶、构筑出生缺陷防控体系、免费培训等措施，积极推进孕产妇和新生儿重症救治两个中心建设，全方位帮助基层提升妇幼健康服务能力，把联盟打造为“强基层”的高地。为了扎实搞好相关事宜，有力巩固了联盟合作。一是为了加强基层妇幼保健人员的工作能力及业务水平组织开展主专题培训会。3月19日，黄石市妇幼健康联盟举办的首届“基层医院儿科多发疾病诊疗技术”培训班，来自联盟各成员单位的儿科、新生儿科、小儿外科等相关学科的100多名医务人员参加学习；二是组织黄石市“首届会阴切开与裂伤修复缝合技术技能大赛”。本次大赛共32支代表队伍参赛，其中一级助产机构9家、二三级助产机构23家。以赛促学提高服务能力的效果，真正打造出一支医技过硬的专业化医疗服务队伍，促使我市助产服务水平稳步提升。三是通过黄石4个城区季度妇幼公卫督导检查发现妇幼儿童健康管理工作严重滞后，黄石市卫健委妇幼科将督查具体情况进行全区通报，对项目工作落后的卫生院、中心和站进行通报批评，并由分管领导对机构负责人进行了约谈，要求限期对存在的问题进行整改落实。四是推进双向转诊。通过以常见病、多发病、慢性病为突破口，目前医院已与11家上级医院、48家周边乡镇卫生院、城区卫生服务中心签订了“双向转诊协议书”，76家医疗机构已与我院建立“妇幼联盟”关系。全年转至上级医院继续治疗患者61名，由下级基层医疗机构转入我院治疗患者224名，下转基层患者16名，分级诊疗工作初见成效。</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b w:val="0"/>
          <w:bCs w:val="0"/>
          <w:sz w:val="28"/>
          <w:szCs w:val="28"/>
          <w:lang w:val="en-US" w:eastAsia="zh-CN"/>
        </w:rPr>
        <w:t>⑵科室全体人员服务广大孕产妇，通过各种常态化活动深入宣传孕产妇卫生保健知识，主动服务、精准服务。制定了完善的活动计划，科学分工摊派、责任安排到人，贯穿于全年始终。在各个社区、企业、学校等单位对外宣传上,发放宣传资料、院报 10000 余份；开展进社区、进企业“健康知识讲座”活动41场 ，参课人数1500余人次；开展下乡“送医、送药、送健康”大型义诊活动27次，参加人数4300人次，及时缓解了部分群众就医难的问题，组织全市社区计生专干开展“母乳喂养及优生优育”的专项培训活动，有效提升了基层计生工作者理论素质和产妇的卫生保健技能，强化了服务基层意识。</w:t>
      </w:r>
    </w:p>
    <w:p>
      <w:pPr>
        <w:keepNext w:val="0"/>
        <w:keepLines w:val="0"/>
        <w:pageBreakBefore w:val="0"/>
        <w:kinsoku/>
        <w:wordWrap/>
        <w:overflowPunct/>
        <w:topLinePunct w:val="0"/>
        <w:bidi w:val="0"/>
        <w:spacing w:line="360" w:lineRule="auto"/>
        <w:ind w:firstLine="562" w:firstLineChars="200"/>
        <w:jc w:val="both"/>
        <w:textAlignment w:val="auto"/>
        <w:outlineLvl w:val="9"/>
        <w:rPr>
          <w:rFonts w:hint="eastAsia" w:ascii="仿宋" w:hAnsi="仿宋" w:eastAsia="仿宋" w:cs="仿宋"/>
          <w:kern w:val="0"/>
          <w:sz w:val="28"/>
          <w:szCs w:val="28"/>
          <w:highlight w:val="none"/>
          <w:lang w:eastAsia="zh-CN"/>
        </w:rPr>
      </w:pPr>
      <w:r>
        <w:rPr>
          <w:rFonts w:hint="eastAsia" w:ascii="仿宋" w:hAnsi="仿宋" w:eastAsia="仿宋" w:cs="仿宋"/>
          <w:b/>
          <w:bCs/>
          <w:kern w:val="0"/>
          <w:sz w:val="28"/>
          <w:szCs w:val="28"/>
          <w:highlight w:val="none"/>
        </w:rPr>
        <w:t>⑸开展项目培训。</w:t>
      </w:r>
      <w:r>
        <w:rPr>
          <w:rFonts w:hint="eastAsia" w:ascii="仿宋" w:hAnsi="仿宋" w:eastAsia="仿宋" w:cs="仿宋"/>
          <w:kern w:val="0"/>
          <w:sz w:val="28"/>
          <w:szCs w:val="28"/>
          <w:highlight w:val="none"/>
        </w:rPr>
        <w:t>为确保项目顺利实施，提高基层人员项目的服务能力，组织相关培训</w:t>
      </w:r>
      <w:r>
        <w:rPr>
          <w:rFonts w:hint="eastAsia" w:ascii="仿宋" w:hAnsi="仿宋" w:eastAsia="仿宋" w:cs="仿宋"/>
          <w:kern w:val="0"/>
          <w:sz w:val="28"/>
          <w:szCs w:val="28"/>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 2021年1月8日，组织开展2020年度全市孕产妇、新生儿安全管理会议,近70余人参加会议。</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2、2021年9月15日，组织开展2021年上半年黄石市新生儿安全管理评审会议暨培训班,近90余人参加会议。</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6月3日，黄石市“323”攻坚行动出生缺陷综合防治工作会暨培训会在黄石市妇幼保健院召开。省卫健委二级调研员王劲松、市卫健委副主任郑葆青、妇幼健康科副科长於军兰，市妇幼保健院执行院长袁明、副院长江鸿出席会议，各县（市）区卫健局分管局长、妇幼科科长，全市助产技术服务机构主要负责人、产科、儿科负责人等140余人参加会议。</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4、5月21日在澄月中心举办公卫人员妇幼报表知识培训，23人参加培训会。</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6月16日在203会议室召开2021年新生儿先天性心脏病筛查工作协调会。参会人员有执行院长袁明、分管院长江鸿、保健部负责人、产科主任、产科护士长、新生儿科主任、儿保科护士长、功能科等10人参加此次会议。</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6、6月9日和6月15日组织医院专家分别在开发区太子卫生院、四棵卫生院开展《抗菌药物合理应用》、《国家基本药物政策》及《药事管理法规政策》培训会，近220余人参加培训。</w:t>
      </w:r>
    </w:p>
    <w:p>
      <w:pPr>
        <w:pStyle w:val="2"/>
        <w:keepNext w:val="0"/>
        <w:keepLines w:val="0"/>
        <w:pageBreakBefore w:val="0"/>
        <w:widowControl w:val="0"/>
        <w:kinsoku/>
        <w:wordWrap/>
        <w:overflowPunct/>
        <w:topLinePunct w:val="0"/>
        <w:autoSpaceDE/>
        <w:autoSpaceDN/>
        <w:bidi w:val="0"/>
        <w:adjustRightInd/>
        <w:snapToGrid/>
        <w:spacing w:before="0" w:line="240" w:lineRule="auto"/>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7、7月20日下午，由保健部牵头，医务科、儿保科及新生儿科参与的学科建设工作协调会在行政楼205会议室召开，会议由保健部王忠红主任主持，副院长江鸿、胡长涛参会。</w:t>
      </w:r>
    </w:p>
    <w:p>
      <w:pPr>
        <w:pStyle w:val="2"/>
        <w:keepNext w:val="0"/>
        <w:keepLines w:val="0"/>
        <w:pageBreakBefore w:val="0"/>
        <w:widowControl w:val="0"/>
        <w:kinsoku/>
        <w:wordWrap/>
        <w:overflowPunct/>
        <w:topLinePunct w:val="0"/>
        <w:autoSpaceDE/>
        <w:autoSpaceDN/>
        <w:bidi w:val="0"/>
        <w:adjustRightInd/>
        <w:snapToGrid/>
        <w:spacing w:before="0" w:line="240" w:lineRule="auto"/>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8、2021年7月23日、开发区·铁山区卫健局邀请我院院感办吴红英主任在鹿獐山社区卫生服务中心举办“医院感染预防与控制”健康知识培训会，提高辖区基层医疗机构全体医务人员安全防范意识参会人员22人。</w:t>
      </w:r>
    </w:p>
    <w:p>
      <w:pPr>
        <w:pStyle w:val="2"/>
        <w:keepNext w:val="0"/>
        <w:keepLines w:val="0"/>
        <w:pageBreakBefore w:val="0"/>
        <w:widowControl w:val="0"/>
        <w:kinsoku/>
        <w:wordWrap/>
        <w:overflowPunct/>
        <w:topLinePunct w:val="0"/>
        <w:autoSpaceDE/>
        <w:autoSpaceDN/>
        <w:bidi w:val="0"/>
        <w:adjustRightInd/>
        <w:snapToGrid/>
        <w:spacing w:before="0" w:line="240" w:lineRule="auto"/>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9、7月21- 24日上午配合西塞山区卫健局在区行政服务中心7楼会议室举办2021年基本公共卫生服务项目培训包括孕产妇健康健康管理（刘冰清）、儿童健康管理（肖俊）、儿童中医药管理（钟闻文），培训人数；76人。</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10、9月1日在四棵卫生院举办2021年国家基本公卫服务规范培训。刘冰清《孕产妇健康管理服务规范及培训测评》、肖俊《儿童健康管理服务规范》，参加人数：51人。</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11、2021年9月15日组织妇保儿保专家赴黄石港区为100余名公卫人员进行基本公卫妇幼健康项目管理培训，并对基层医疗机构妇幼保健人员共计39人进行培训后考核测试。</w:t>
      </w:r>
    </w:p>
    <w:p>
      <w:pPr>
        <w:pStyle w:val="2"/>
        <w:keepNext w:val="0"/>
        <w:keepLines w:val="0"/>
        <w:pageBreakBefore w:val="0"/>
        <w:widowControl w:val="0"/>
        <w:kinsoku/>
        <w:wordWrap/>
        <w:overflowPunct/>
        <w:topLinePunct w:val="0"/>
        <w:autoSpaceDE/>
        <w:autoSpaceDN/>
        <w:bidi w:val="0"/>
        <w:adjustRightInd/>
        <w:snapToGrid/>
        <w:spacing w:before="0" w:line="240" w:lineRule="auto"/>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12、11月17日，应西塞山卫健局邀请，组织妇保、儿保专家赴西塞山区八泉社区卫生服务中心进行基本公卫妇幼项目培训讲课，参加培训人员30人。</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12月15日，应下陆区卫健局邀请，组织妇保、儿保专家赴下陆区东方社区卫生服务中心进行基本公卫妇幼项目培训讲课，参加培训人员66人。培训结束后组织从事妇保、儿保工作的26名公卫人员进行基本公卫妇幼项目能力测试，进一步了解培训效果，将公卫培训落到实处。</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14、</w:t>
      </w:r>
      <w:r>
        <w:rPr>
          <w:rFonts w:hint="eastAsia" w:ascii="仿宋" w:hAnsi="仿宋" w:eastAsia="仿宋" w:cs="仿宋"/>
          <w:b w:val="0"/>
          <w:bCs w:val="0"/>
          <w:sz w:val="28"/>
          <w:szCs w:val="28"/>
          <w:lang w:val="en-US" w:eastAsia="zh-CN"/>
        </w:rPr>
        <w:t>为进一步加强妇幼保健机构规范化管理，推进妇幼保健机构持续健康发展，充分认识妇幼保健机构绩效考核工作的重要性和必要性，2021年1月6日、1月25日、1月27日、3月19日、6月17日、9月18日、11月24日、12月28日分别在205会议室共召开8次绩效考核培训及协调会议。院领导、职能科室负责人、临床科室负责人等参加会议。</w:t>
      </w:r>
    </w:p>
    <w:p>
      <w:pPr>
        <w:keepNext w:val="0"/>
        <w:keepLines w:val="0"/>
        <w:pageBreakBefore w:val="0"/>
        <w:kinsoku/>
        <w:wordWrap/>
        <w:overflowPunct/>
        <w:topLinePunct w:val="0"/>
        <w:bidi w:val="0"/>
        <w:spacing w:line="360" w:lineRule="auto"/>
        <w:ind w:firstLine="562"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bCs/>
          <w:kern w:val="0"/>
          <w:sz w:val="28"/>
          <w:szCs w:val="28"/>
          <w:highlight w:val="none"/>
          <w:lang w:val="en-US" w:eastAsia="zh-CN"/>
        </w:rPr>
        <w:t>⑹</w:t>
      </w:r>
      <w:r>
        <w:rPr>
          <w:rFonts w:hint="eastAsia" w:ascii="仿宋" w:hAnsi="仿宋" w:eastAsia="仿宋" w:cs="仿宋"/>
          <w:b/>
          <w:bCs/>
          <w:kern w:val="0"/>
          <w:sz w:val="28"/>
          <w:szCs w:val="28"/>
          <w:highlight w:val="none"/>
        </w:rPr>
        <w:t>开展督导检查。</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1、2021年1月4-8日组织妇保、儿保专家对黄石港区16家社区卫生服务机构进行2020年基本公共卫生服务专项督导考核，并对考核中发现的问题进行现场指导。</w:t>
      </w:r>
    </w:p>
    <w:p>
      <w:pPr>
        <w:pStyle w:val="2"/>
        <w:keepNext w:val="0"/>
        <w:keepLines w:val="0"/>
        <w:pageBreakBefore w:val="0"/>
        <w:widowControl w:val="0"/>
        <w:kinsoku/>
        <w:wordWrap/>
        <w:overflowPunct/>
        <w:topLinePunct w:val="0"/>
        <w:autoSpaceDE/>
        <w:autoSpaceDN/>
        <w:bidi w:val="0"/>
        <w:adjustRightInd/>
        <w:snapToGrid/>
        <w:spacing w:before="0" w:line="240" w:lineRule="auto"/>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2、2021年1月11-15日组织妇保、儿保专家对西塞山区18家社区卫生服务机构进行2020年基本公共卫生服务专项督导考核，并对考核中发现的问题进行现场指导。</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3、2021年1月19-22日组织妇保、儿保专家对下陆区12家社区卫生服务机构进行2020年基本公共卫生服务专项督导考核，并对考核中发现的问题进行现场指导。</w:t>
      </w:r>
    </w:p>
    <w:p>
      <w:pPr>
        <w:pStyle w:val="2"/>
        <w:keepNext w:val="0"/>
        <w:keepLines w:val="0"/>
        <w:pageBreakBefore w:val="0"/>
        <w:widowControl w:val="0"/>
        <w:kinsoku/>
        <w:wordWrap/>
        <w:overflowPunct/>
        <w:topLinePunct w:val="0"/>
        <w:autoSpaceDE/>
        <w:autoSpaceDN/>
        <w:bidi w:val="0"/>
        <w:adjustRightInd/>
        <w:snapToGrid/>
        <w:spacing w:before="0" w:line="240" w:lineRule="auto"/>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4、2021年2月24日-3月1日配合市卫健委在全市6个县（市）区抽查的12家卫生服务机构，组织妇保、儿保专家对2020年基本公共卫生服务妇幼项目工作完成情况进行专项督导考核，并对考核中发现的问题进行现场指导。</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5、4月8日-4月14日，对黄石港区基层16家机构进行妇幼项目一季度自查考核。</w:t>
      </w:r>
    </w:p>
    <w:p>
      <w:pPr>
        <w:pStyle w:val="2"/>
        <w:keepNext w:val="0"/>
        <w:keepLines w:val="0"/>
        <w:pageBreakBefore w:val="0"/>
        <w:widowControl w:val="0"/>
        <w:kinsoku/>
        <w:wordWrap/>
        <w:overflowPunct/>
        <w:topLinePunct w:val="0"/>
        <w:autoSpaceDE/>
        <w:autoSpaceDN/>
        <w:bidi w:val="0"/>
        <w:adjustRightInd/>
        <w:snapToGrid/>
        <w:spacing w:before="0" w:line="240" w:lineRule="auto"/>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6、2021年3月26日，配合市卫健委对大冶市、阳新县开展妇幼健康工作调研。郑葆青副主任带队赴大冶市妇幼保健院和阳新县下王村卫生室、浮屠镇卫生院、阳新县妇幼保健院，通过召开座谈会、听取汇报、现场查看等方式，调研妇幼健康各项工作落实情况，推进2021年妇幼健康重点工作、重点项目开展。</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7、配合卫建委于5月17日对大冶市、阳新县开展 2020 年全市妇幼保健机构绩效考核质量控制工作。</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8、配合市卫健委于 4月 15 日至 4 月 16 日对城区 19 家助产机构进行产科安全管理专项督查工作。</w:t>
      </w:r>
    </w:p>
    <w:p>
      <w:pPr>
        <w:pStyle w:val="2"/>
        <w:keepNext w:val="0"/>
        <w:keepLines w:val="0"/>
        <w:pageBreakBefore w:val="0"/>
        <w:widowControl w:val="0"/>
        <w:kinsoku/>
        <w:wordWrap/>
        <w:overflowPunct/>
        <w:topLinePunct w:val="0"/>
        <w:autoSpaceDE/>
        <w:autoSpaceDN/>
        <w:bidi w:val="0"/>
        <w:adjustRightInd/>
        <w:snapToGrid/>
        <w:spacing w:before="0" w:line="240" w:lineRule="auto"/>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9、配合卫建委于6月10日开展 2021 年黄石市母婴保健技术服务现场考核与整改验收工作。</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10、7月12-16日组织妇保、儿保专家完成黄石港区2021年上半年基本公卫妇幼项目16家单位督导检查工作。</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11、2021年10月26-29日组织妇保儿保专家赴下陆区12家社区卫生服务中心（站）开展2021年1-9月份基本公卫妇幼项目督导检查，并对检查中发现的问题进行针对性指导。</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12、2021年11月9日至12日配合市卫建委开展全市助产机构妇幼健康统计调查质量控制和出生缺陷综合防治等工作督查：及时发现和解决在实际工作中遇到的问题，确保各项妇幼卫生工作保质保量完成。</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 2021年7月13日-15日，组织妇保儿保专家开铁区在四家卫生院1家鹿獐山社区卫生服务中心督导妇幼基本公卫。</w:t>
      </w:r>
    </w:p>
    <w:p>
      <w:pPr>
        <w:pStyle w:val="2"/>
        <w:keepNext w:val="0"/>
        <w:keepLines w:val="0"/>
        <w:pageBreakBefore w:val="0"/>
        <w:widowControl w:val="0"/>
        <w:kinsoku/>
        <w:wordWrap/>
        <w:overflowPunct/>
        <w:topLinePunct w:val="0"/>
        <w:autoSpaceDE/>
        <w:autoSpaceDN/>
        <w:bidi w:val="0"/>
        <w:adjustRightInd/>
        <w:snapToGrid/>
        <w:spacing w:before="0" w:line="240" w:lineRule="auto"/>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14、2021年10月26日-28日，组织妇保儿保专家赴开铁区在四家卫生院1家鹿獐山社区卫生服务中心督导妇幼基本公卫。</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15、12月20日-12月24日根据黄石港区卫生健康局的要求，按照《国家基本公共卫生服务规范》考核标准，对黄石港辖区16家社区卫生服务机构2021年基本公共卫生服务妇幼项目工作完成情况进行专项考核。</w:t>
      </w:r>
    </w:p>
    <w:p>
      <w:pPr>
        <w:spacing w:line="6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（二）部门自评工作开展情况</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2"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⑴妇幼卫生信息：</w:t>
      </w:r>
      <w:r>
        <w:rPr>
          <w:rFonts w:hint="eastAsia" w:ascii="仿宋" w:hAnsi="仿宋" w:eastAsia="仿宋" w:cs="仿宋"/>
          <w:b w:val="0"/>
          <w:bCs w:val="0"/>
          <w:sz w:val="28"/>
          <w:szCs w:val="28"/>
          <w:lang w:val="en-US" w:eastAsia="zh-CN"/>
        </w:rPr>
        <w:t>按时完成全市妇幼卫生信息31种报表收集、汇总、审核、上报和反馈工作。每季度以《黄石市妇幼卫生统计监测简报》形式对各单位的妇幼卫生统计监测情况进行全市通报，督促各项工作的落实；重视质量控制，配合市卫健委组织全市性妇幼卫生信息质量控制检查。</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2" w:firstLineChars="20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lang w:val="en-US" w:eastAsia="zh-CN"/>
        </w:rPr>
        <w:t>⑵重大公共卫</w:t>
      </w:r>
      <w:r>
        <w:rPr>
          <w:rFonts w:hint="eastAsia" w:ascii="仿宋" w:hAnsi="仿宋" w:eastAsia="仿宋" w:cs="仿宋"/>
          <w:b/>
          <w:bCs/>
          <w:sz w:val="28"/>
          <w:szCs w:val="28"/>
          <w:highlight w:val="none"/>
          <w:lang w:val="en-US" w:eastAsia="zh-CN"/>
        </w:rPr>
        <w:t>生项目：</w:t>
      </w:r>
      <w:r>
        <w:rPr>
          <w:rFonts w:hint="eastAsia" w:ascii="仿宋" w:hAnsi="仿宋" w:eastAsia="仿宋" w:cs="仿宋"/>
          <w:b w:val="0"/>
          <w:bCs w:val="0"/>
          <w:sz w:val="28"/>
          <w:szCs w:val="28"/>
          <w:highlight w:val="none"/>
          <w:lang w:val="en-US" w:eastAsia="zh-CN"/>
        </w:rPr>
        <w:t>预防艾滋、乙肝、梅毒母婴传播项目2021年1-12月黄石城区、大冶市、阳新县“三病”检测23463人，检测率均达到100%。2021年1-12月黄石城区乙肝感染产妇分娩活产数共500例，接受补助362例。并对其中87例孕中、晚期血清HBV DNA≥2×105IU/ml或HBeAg阳性孕产妇所生儿童进行规范随访。2021年1-12月城区梅毒感染产妇共30例，均进行了规范随访，其中接受补助5例。对2021年1-12月3例艾滋病孕妇及3名所生儿童进行追踪随访，完成3名儿童HIV早期核酸检测。3名儿童出生48小时早期核酸检测均为阴性。</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2" w:firstLineChars="20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⑶基本公共卫生项目：</w:t>
      </w:r>
      <w:r>
        <w:rPr>
          <w:rFonts w:hint="eastAsia" w:ascii="仿宋" w:hAnsi="仿宋" w:eastAsia="仿宋" w:cs="仿宋"/>
          <w:b w:val="0"/>
          <w:bCs w:val="0"/>
          <w:sz w:val="28"/>
          <w:szCs w:val="28"/>
          <w:highlight w:val="none"/>
          <w:lang w:val="en-US" w:eastAsia="zh-CN"/>
        </w:rPr>
        <w:t>每年配合市卫健委派妇产科和儿保专家到各个城区进行孕产妇和儿童系统管理督导和检查一次，并定期对相关人员进行基本公卫服务项目规范培训；每年对各城区基本公共卫生妇幼健康项目进行专项督导和检查两次，对检查中发现的问题，现场指导培训和反馈，督促整改。</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2"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highlight w:val="none"/>
          <w:lang w:val="en-US" w:eastAsia="zh-CN"/>
        </w:rPr>
        <w:t>1、增补叶酸预防神经管缺陷项目：</w:t>
      </w:r>
      <w:r>
        <w:rPr>
          <w:rFonts w:hint="eastAsia" w:ascii="仿宋" w:hAnsi="仿宋" w:eastAsia="仿宋" w:cs="仿宋"/>
          <w:b w:val="0"/>
          <w:bCs w:val="0"/>
          <w:sz w:val="28"/>
          <w:szCs w:val="28"/>
          <w:highlight w:val="none"/>
          <w:lang w:val="en-US" w:eastAsia="zh-CN"/>
        </w:rPr>
        <w:t>完成2021年全市增补叶酸预防神经管缺陷项目采购审批发放报销工作。2021年1-12月全市叶酸</w:t>
      </w:r>
      <w:r>
        <w:rPr>
          <w:rFonts w:hint="eastAsia" w:ascii="仿宋" w:hAnsi="仿宋" w:eastAsia="仿宋" w:cs="仿宋"/>
          <w:b w:val="0"/>
          <w:bCs w:val="0"/>
          <w:sz w:val="28"/>
          <w:szCs w:val="28"/>
          <w:lang w:val="en-US" w:eastAsia="zh-CN"/>
        </w:rPr>
        <w:t>增补项目发放24302人，完成全年任务的110.46%，其中黄石城区发放叶酸4236人，完成率141.2%；大冶市发放叶酸11850人，完成率107.73%；阳新县发放叶酸8216，完成率102.7%。</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2"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2、贫困妇女“两癌”检查项目：</w:t>
      </w:r>
      <w:r>
        <w:rPr>
          <w:rFonts w:hint="eastAsia" w:ascii="仿宋" w:hAnsi="仿宋" w:eastAsia="仿宋" w:cs="仿宋"/>
          <w:b w:val="0"/>
          <w:bCs w:val="0"/>
          <w:sz w:val="28"/>
          <w:szCs w:val="28"/>
          <w:lang w:val="en-US" w:eastAsia="zh-CN"/>
        </w:rPr>
        <w:t>2021年1-12月全市贫困妇女“两癌”免费检查项目（任务量大冶1700人，阳新7500人）：大冶市乳腺癌检测1714人，完成率为100.82%；宫颈癌检测1714人，完成率为100.82%；乳腺癌可疑0人,确诊0人；宫颈癌可疑0人；确诊2人。阳新县“两癌”各已检测7574人，完成率为100.99%；乳腺癌可疑0人，确诊1人,宫颈癌可疑0人，确诊2人。</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2" w:firstLineChars="20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lang w:val="en-US" w:eastAsia="zh-CN"/>
        </w:rPr>
        <w:t>⑷新生儿疾</w:t>
      </w:r>
      <w:r>
        <w:rPr>
          <w:rFonts w:hint="eastAsia" w:ascii="仿宋" w:hAnsi="仿宋" w:eastAsia="仿宋" w:cs="仿宋"/>
          <w:b/>
          <w:bCs/>
          <w:sz w:val="28"/>
          <w:szCs w:val="28"/>
          <w:highlight w:val="none"/>
          <w:lang w:val="en-US" w:eastAsia="zh-CN"/>
        </w:rPr>
        <w:t>病筛查工作:</w:t>
      </w:r>
      <w:r>
        <w:rPr>
          <w:rFonts w:hint="eastAsia" w:ascii="仿宋" w:hAnsi="仿宋" w:eastAsia="仿宋" w:cs="仿宋"/>
          <w:b w:val="0"/>
          <w:bCs w:val="0"/>
          <w:sz w:val="28"/>
          <w:szCs w:val="28"/>
          <w:highlight w:val="none"/>
          <w:lang w:val="en-US" w:eastAsia="zh-CN"/>
        </w:rPr>
        <w:t>2021年1-12月全市助产机构活产数19737人，新生儿疾病筛查人数19590人,筛查率99.26%。2021年1-12月筛查结果：葡萄糖6磷酸脱氢酶缺乏症18人，轻度高苯丙氨酸血症1人，地中海贫血279人（ɑ地贫208人，β地贫67人，α和β同时缺失4 人），高TSH血症13人（需要药物治疗13人），先天性甲状腺功能减低症18人。所有阳性病例均进行跟踪管理及干预：确诊为高苯丙氨酸血症、甲状腺功能减低症和高TSH血症药物治疗的患儿均建立专用病历，专案管理；确诊为地中海贫血和葡萄糖6磷酸脱氢酶缺乏症的患儿，对家长进行健康教育，门诊随访。 听力筛查：新生儿听力筛查人数18864人，筛查率95.58%。</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2" w:firstLineChars="20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⑸“323“项目工作</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2"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1、 0-6岁儿童眼保健和视力检查项目：</w:t>
      </w:r>
      <w:r>
        <w:rPr>
          <w:rFonts w:hint="eastAsia" w:ascii="仿宋" w:hAnsi="仿宋" w:eastAsia="仿宋" w:cs="仿宋"/>
          <w:b w:val="0"/>
          <w:bCs w:val="0"/>
          <w:sz w:val="28"/>
          <w:szCs w:val="28"/>
          <w:lang w:val="en-US" w:eastAsia="zh-CN"/>
        </w:rPr>
        <w:t>2021年0-6岁儿童眼保健和视力检查人数：黄石港区完成10674人，完成率90.01%；西塞山区完成10413人，完成率90.01%；下陆区18049人，完成率90.01%；铁山区完成1654人，完成率89.99%；大冶市完成65183人，完成率93.27%，阳新县完成81865人，完成率90.1%。</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2"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2、新生儿先天性心脏病筛查项目：</w:t>
      </w:r>
      <w:r>
        <w:rPr>
          <w:rFonts w:hint="eastAsia" w:ascii="仿宋" w:hAnsi="仿宋" w:eastAsia="仿宋" w:cs="仿宋"/>
          <w:b w:val="0"/>
          <w:bCs w:val="0"/>
          <w:sz w:val="28"/>
          <w:szCs w:val="28"/>
          <w:lang w:val="en-US" w:eastAsia="zh-CN"/>
        </w:rPr>
        <w:t>2021年1-12月全市项目单位活产数6823人，先天性心脏病筛查人数6563人，筛查率达到96.19%（目标筛查率91%）,筛查阳性91人，其中71人已接受心脏超声检查，确诊24例，先心发病率0.35‰，治疗0人（转上级机构治疗）。</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2"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3、0-6岁儿童血管瘤筛查项目：</w:t>
      </w:r>
      <w:r>
        <w:rPr>
          <w:rFonts w:hint="eastAsia" w:ascii="仿宋" w:hAnsi="仿宋" w:eastAsia="仿宋" w:cs="仿宋"/>
          <w:b w:val="0"/>
          <w:bCs w:val="0"/>
          <w:sz w:val="28"/>
          <w:szCs w:val="28"/>
          <w:lang w:val="en-US" w:eastAsia="zh-CN"/>
        </w:rPr>
        <w:t>2021年1-12月共计上报115例：黄石妇幼上报114例，汪仁镇卫生院上报1例。</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2" w:firstLineChars="20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⑹计划生育技术服务：</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2" w:firstLineChars="20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1、婚前检查</w:t>
      </w:r>
      <w:r>
        <w:rPr>
          <w:rFonts w:hint="eastAsia" w:ascii="仿宋" w:hAnsi="仿宋" w:eastAsia="仿宋" w:cs="仿宋"/>
          <w:b w:val="0"/>
          <w:bCs w:val="0"/>
          <w:sz w:val="28"/>
          <w:szCs w:val="28"/>
          <w:highlight w:val="none"/>
          <w:lang w:val="en-US" w:eastAsia="zh-CN"/>
        </w:rPr>
        <w:t>2021年1-12月份全市婚前免费医学检查人数10453人（目标任务数11700人），完成率89.34%。</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2" w:firstLineChars="20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2、孕前优生检查：</w:t>
      </w:r>
      <w:r>
        <w:rPr>
          <w:rFonts w:hint="eastAsia" w:ascii="仿宋" w:hAnsi="仿宋" w:eastAsia="仿宋" w:cs="仿宋"/>
          <w:b w:val="0"/>
          <w:bCs w:val="0"/>
          <w:sz w:val="28"/>
          <w:szCs w:val="28"/>
          <w:highlight w:val="none"/>
          <w:lang w:val="en-US" w:eastAsia="zh-CN"/>
        </w:rPr>
        <w:t>孕前优生健康检查人数9536人（目标任务数11864人），完成率80.38%。</w:t>
      </w:r>
    </w:p>
    <w:p>
      <w:pPr>
        <w:spacing w:line="6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（三）绩效目标完成情况分析</w:t>
      </w:r>
    </w:p>
    <w:p>
      <w:pPr>
        <w:spacing w:line="620" w:lineRule="exact"/>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1.预算执行情况分析（包括完成情况和偏离原因等）。</w:t>
      </w:r>
    </w:p>
    <w:p>
      <w:pPr>
        <w:spacing w:line="620" w:lineRule="exact"/>
        <w:ind w:firstLine="560" w:firstLineChars="200"/>
        <w:outlineLvl w:val="0"/>
        <w:rPr>
          <w:rFonts w:hint="eastAsia" w:ascii="仿宋" w:hAnsi="仿宋" w:eastAsia="仿宋" w:cs="仿宋"/>
          <w:sz w:val="28"/>
          <w:szCs w:val="28"/>
          <w:highlight w:val="none"/>
          <w:lang w:val="en-US" w:eastAsia="zh-CN"/>
        </w:rPr>
      </w:pPr>
      <w:r>
        <w:rPr>
          <w:rFonts w:hint="eastAsia" w:ascii="仿宋" w:hAnsi="仿宋" w:eastAsia="仿宋" w:cs="仿宋"/>
          <w:bCs/>
          <w:sz w:val="28"/>
          <w:szCs w:val="28"/>
          <w:highlight w:val="none"/>
          <w:lang w:val="en-US" w:eastAsia="zh-CN"/>
        </w:rPr>
        <w:t>2021年基本公共卫生项目195万</w:t>
      </w:r>
      <w:r>
        <w:rPr>
          <w:rFonts w:hint="eastAsia" w:ascii="仿宋" w:hAnsi="仿宋" w:eastAsia="仿宋" w:cs="仿宋"/>
          <w:sz w:val="28"/>
          <w:szCs w:val="28"/>
          <w:highlight w:val="none"/>
          <w:lang w:val="en-US" w:eastAsia="zh-CN"/>
        </w:rPr>
        <w:t>，重大公共卫生项目100万，计划生育服务3万，执行率为100%。</w:t>
      </w:r>
      <w:bookmarkStart w:id="0" w:name="_GoBack"/>
      <w:bookmarkEnd w:id="0"/>
    </w:p>
    <w:p>
      <w:pPr>
        <w:spacing w:line="620" w:lineRule="exact"/>
        <w:ind w:firstLine="560" w:firstLineChars="200"/>
        <w:outlineLvl w:val="0"/>
        <w:rPr>
          <w:rFonts w:hint="eastAsia" w:ascii="仿宋" w:hAnsi="仿宋" w:eastAsia="仿宋" w:cs="仿宋"/>
          <w:sz w:val="28"/>
          <w:szCs w:val="28"/>
        </w:rPr>
      </w:pPr>
      <w:r>
        <w:rPr>
          <w:rFonts w:hint="eastAsia" w:ascii="仿宋" w:hAnsi="仿宋" w:eastAsia="仿宋" w:cs="仿宋"/>
          <w:sz w:val="28"/>
          <w:szCs w:val="28"/>
          <w:highlight w:val="none"/>
        </w:rPr>
        <w:t>2.绩效目标完成情况分析（包括完成情况和</w:t>
      </w:r>
      <w:r>
        <w:rPr>
          <w:rFonts w:hint="eastAsia" w:ascii="仿宋" w:hAnsi="仿宋" w:eastAsia="仿宋" w:cs="仿宋"/>
          <w:sz w:val="28"/>
          <w:szCs w:val="28"/>
        </w:rPr>
        <w:t>偏离原因等）。</w:t>
      </w:r>
    </w:p>
    <w:p>
      <w:pPr>
        <w:spacing w:line="6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（1）产出指标完成情况分析。</w:t>
      </w:r>
    </w:p>
    <w:p>
      <w:pPr>
        <w:spacing w:line="620" w:lineRule="exact"/>
        <w:ind w:firstLine="560" w:firstLineChars="200"/>
        <w:rPr>
          <w:rFonts w:hint="eastAsia" w:ascii="仿宋" w:hAnsi="仿宋" w:eastAsia="仿宋" w:cs="仿宋"/>
          <w:b w:val="0"/>
          <w:bCs w:val="0"/>
          <w:kern w:val="0"/>
          <w:sz w:val="28"/>
          <w:szCs w:val="28"/>
          <w:highlight w:val="none"/>
          <w:lang w:val="en-US" w:eastAsia="zh-CN"/>
        </w:rPr>
      </w:pPr>
      <w:r>
        <w:rPr>
          <w:rFonts w:hint="eastAsia" w:ascii="仿宋" w:hAnsi="仿宋" w:eastAsia="仿宋" w:cs="仿宋"/>
          <w:sz w:val="28"/>
          <w:szCs w:val="28"/>
          <w:highlight w:val="none"/>
        </w:rPr>
        <w:t>我市孕产妇死亡率及5岁以下儿童死亡率</w:t>
      </w:r>
      <w:r>
        <w:rPr>
          <w:rFonts w:hint="eastAsia" w:ascii="仿宋" w:hAnsi="仿宋" w:eastAsia="仿宋" w:cs="仿宋"/>
          <w:sz w:val="28"/>
          <w:szCs w:val="28"/>
          <w:highlight w:val="none"/>
          <w:lang w:eastAsia="zh-CN"/>
        </w:rPr>
        <w:t>均</w:t>
      </w:r>
      <w:r>
        <w:rPr>
          <w:rFonts w:hint="eastAsia" w:ascii="仿宋" w:hAnsi="仿宋" w:eastAsia="仿宋" w:cs="仿宋"/>
          <w:bCs/>
          <w:spacing w:val="-6"/>
          <w:sz w:val="28"/>
          <w:szCs w:val="28"/>
          <w:highlight w:val="none"/>
        </w:rPr>
        <w:t>低于全省要求</w:t>
      </w:r>
      <w:r>
        <w:rPr>
          <w:rFonts w:hint="eastAsia" w:ascii="仿宋" w:hAnsi="仿宋" w:eastAsia="仿宋" w:cs="仿宋"/>
          <w:b w:val="0"/>
          <w:bCs w:val="0"/>
          <w:kern w:val="0"/>
          <w:sz w:val="28"/>
          <w:szCs w:val="28"/>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560" w:firstLineChars="20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预防艾滋病、梅毒和乙肝母婴传播</w:t>
      </w:r>
      <w:r>
        <w:rPr>
          <w:rFonts w:hint="eastAsia" w:ascii="仿宋" w:hAnsi="仿宋" w:eastAsia="仿宋" w:cs="仿宋"/>
          <w:b w:val="0"/>
          <w:bCs w:val="0"/>
          <w:i w:val="0"/>
          <w:color w:val="000000"/>
          <w:kern w:val="0"/>
          <w:sz w:val="28"/>
          <w:szCs w:val="28"/>
          <w:highlight w:val="none"/>
          <w:u w:val="none"/>
          <w:lang w:val="en-US" w:eastAsia="zh-CN" w:bidi="ar"/>
        </w:rPr>
        <w:t>孕检测率完成率为100%，</w:t>
      </w:r>
      <w:r>
        <w:rPr>
          <w:rFonts w:hint="eastAsia" w:ascii="仿宋" w:hAnsi="仿宋" w:eastAsia="仿宋" w:cs="仿宋"/>
          <w:b w:val="0"/>
          <w:bCs w:val="0"/>
          <w:sz w:val="28"/>
          <w:szCs w:val="28"/>
          <w:highlight w:val="none"/>
        </w:rPr>
        <w:t>为孕产妇提供</w:t>
      </w:r>
      <w:r>
        <w:rPr>
          <w:rFonts w:hint="eastAsia" w:ascii="仿宋" w:hAnsi="仿宋" w:eastAsia="仿宋" w:cs="仿宋"/>
          <w:b w:val="0"/>
          <w:bCs w:val="0"/>
          <w:sz w:val="28"/>
          <w:szCs w:val="28"/>
          <w:highlight w:val="none"/>
          <w:lang w:eastAsia="zh-CN"/>
        </w:rPr>
        <w:t>三病</w:t>
      </w:r>
      <w:r>
        <w:rPr>
          <w:rFonts w:hint="eastAsia" w:ascii="仿宋" w:hAnsi="仿宋" w:eastAsia="仿宋" w:cs="仿宋"/>
          <w:b w:val="0"/>
          <w:bCs w:val="0"/>
          <w:sz w:val="28"/>
          <w:szCs w:val="28"/>
          <w:highlight w:val="none"/>
        </w:rPr>
        <w:t>的综合防治服务，最大程度地减少因艾滋病、梅毒、乙肝造成的儿童感染，提高产量妇女、儿童的生活质量及健康水平</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 xml:space="preserve">    </w:t>
      </w:r>
    </w:p>
    <w:p>
      <w:pPr>
        <w:spacing w:line="360" w:lineRule="auto"/>
        <w:ind w:right="-540" w:rightChars="-257" w:firstLine="560" w:firstLineChars="200"/>
        <w:jc w:val="both"/>
        <w:rPr>
          <w:rFonts w:hint="eastAsia" w:ascii="仿宋" w:hAnsi="仿宋" w:eastAsia="仿宋" w:cs="仿宋"/>
          <w:b w:val="0"/>
          <w:i w:val="0"/>
          <w:caps w:val="0"/>
          <w:color w:val="auto"/>
          <w:spacing w:val="0"/>
          <w:sz w:val="28"/>
          <w:szCs w:val="28"/>
          <w:highlight w:val="none"/>
          <w:lang w:val="en-US" w:eastAsia="zh-CN"/>
        </w:rPr>
      </w:pPr>
      <w:r>
        <w:rPr>
          <w:rFonts w:hint="eastAsia" w:ascii="仿宋" w:hAnsi="仿宋" w:eastAsia="仿宋" w:cs="仿宋"/>
          <w:b w:val="0"/>
          <w:bCs w:val="0"/>
          <w:sz w:val="28"/>
          <w:szCs w:val="28"/>
          <w:highlight w:val="none"/>
          <w:lang w:val="en-US" w:eastAsia="zh-CN"/>
        </w:rPr>
        <w:t>我市新生儿疾病筛查率为99.26%；新生儿听力筛查率为95.58%。</w:t>
      </w:r>
      <w:r>
        <w:rPr>
          <w:rFonts w:hint="eastAsia" w:ascii="仿宋" w:hAnsi="仿宋" w:eastAsia="仿宋" w:cs="仿宋"/>
          <w:b w:val="0"/>
          <w:i w:val="0"/>
          <w:caps w:val="0"/>
          <w:color w:val="auto"/>
          <w:spacing w:val="0"/>
          <w:sz w:val="28"/>
          <w:szCs w:val="28"/>
          <w:highlight w:val="none"/>
          <w:lang w:val="en-US" w:eastAsia="zh-CN"/>
        </w:rPr>
        <w:t>开展免费新生儿疾病筛查项目，可以做到早发现、早治疗，可以显著提高治疗效果，降低儿童死亡率和病残率，改善预后，提升患儿生活质量，减小家庭和社会经济负担。</w:t>
      </w:r>
    </w:p>
    <w:p>
      <w:pPr>
        <w:spacing w:line="6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（2）效益指标完成情况分析。</w:t>
      </w:r>
    </w:p>
    <w:p>
      <w:pPr>
        <w:spacing w:line="620" w:lineRule="exact"/>
        <w:ind w:firstLine="560" w:firstLineChars="200"/>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none"/>
          <w:lang w:val="en-US" w:eastAsia="zh-CN"/>
        </w:rPr>
        <w:t>社会效益指标：1、对准备怀孕和孕早期3个月的农村生育妇女免费增补叶酸，目标人群叶酸服用率达90%以上。神经管缺陷发生率逐步降低，出生人口素质稳步提高。2、2021 年贫困妇女“两癌”检查项目均超额完成。全面普及“两癌”防治知识，增强了农村妇女自我保健意识和技能，提高“两癌”早诊率。</w:t>
      </w:r>
    </w:p>
    <w:p>
      <w:pPr>
        <w:numPr>
          <w:ilvl w:val="0"/>
          <w:numId w:val="2"/>
        </w:numPr>
        <w:spacing w:line="6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满意度指标完成情况分析。</w:t>
      </w:r>
    </w:p>
    <w:p>
      <w:pPr>
        <w:numPr>
          <w:ilvl w:val="0"/>
          <w:numId w:val="0"/>
        </w:numPr>
        <w:spacing w:line="620" w:lineRule="exact"/>
        <w:ind w:firstLine="536" w:firstLineChars="200"/>
        <w:rPr>
          <w:rFonts w:hint="eastAsia" w:ascii="仿宋" w:hAnsi="仿宋" w:eastAsia="仿宋" w:cs="仿宋"/>
          <w:color w:val="FF0000"/>
          <w:sz w:val="28"/>
          <w:szCs w:val="28"/>
          <w:highlight w:val="none"/>
          <w:lang w:val="en-US" w:eastAsia="zh-CN"/>
        </w:rPr>
      </w:pPr>
      <w:r>
        <w:rPr>
          <w:rFonts w:hint="eastAsia" w:ascii="仿宋" w:hAnsi="仿宋" w:eastAsia="仿宋" w:cs="仿宋"/>
          <w:b w:val="0"/>
          <w:bCs w:val="0"/>
          <w:color w:val="000000"/>
          <w:spacing w:val="-6"/>
          <w:sz w:val="28"/>
          <w:szCs w:val="28"/>
          <w:shd w:val="clear" w:color="auto" w:fill="FFFFFF"/>
        </w:rPr>
        <w:t>预防艾滋、乙肝、梅毒母婴传播项目</w:t>
      </w:r>
      <w:r>
        <w:rPr>
          <w:rFonts w:hint="eastAsia" w:ascii="仿宋" w:hAnsi="仿宋" w:eastAsia="仿宋" w:cs="仿宋"/>
          <w:b w:val="0"/>
          <w:bCs w:val="0"/>
          <w:color w:val="000000"/>
          <w:spacing w:val="-6"/>
          <w:sz w:val="28"/>
          <w:szCs w:val="28"/>
          <w:shd w:val="clear" w:color="auto" w:fill="FFFFFF"/>
          <w:lang w:eastAsia="zh-CN"/>
        </w:rPr>
        <w:t>知晓率</w:t>
      </w:r>
      <w:r>
        <w:rPr>
          <w:rFonts w:hint="eastAsia" w:ascii="仿宋" w:hAnsi="仿宋" w:eastAsia="仿宋" w:cs="仿宋"/>
          <w:b w:val="0"/>
          <w:bCs w:val="0"/>
          <w:color w:val="000000"/>
          <w:spacing w:val="-6"/>
          <w:sz w:val="28"/>
          <w:szCs w:val="28"/>
          <w:shd w:val="clear" w:color="auto" w:fill="FFFFFF"/>
          <w:lang w:val="en-US" w:eastAsia="zh-CN"/>
        </w:rPr>
        <w:t>100%；</w:t>
      </w:r>
      <w:r>
        <w:rPr>
          <w:rFonts w:hint="eastAsia" w:ascii="仿宋" w:hAnsi="仿宋" w:eastAsia="仿宋" w:cs="仿宋"/>
          <w:b w:val="0"/>
          <w:bCs w:val="0"/>
          <w:sz w:val="28"/>
          <w:szCs w:val="28"/>
          <w:highlight w:val="none"/>
        </w:rPr>
        <w:t>免费婚前医学检查</w:t>
      </w:r>
      <w:r>
        <w:rPr>
          <w:rFonts w:hint="eastAsia" w:ascii="仿宋" w:hAnsi="仿宋" w:eastAsia="仿宋" w:cs="仿宋"/>
          <w:b w:val="0"/>
          <w:bCs w:val="0"/>
          <w:sz w:val="28"/>
          <w:szCs w:val="28"/>
          <w:highlight w:val="none"/>
          <w:lang w:eastAsia="zh-CN"/>
        </w:rPr>
        <w:t>及</w:t>
      </w:r>
      <w:r>
        <w:rPr>
          <w:rFonts w:hint="eastAsia" w:ascii="仿宋" w:hAnsi="仿宋" w:eastAsia="仿宋" w:cs="仿宋"/>
          <w:b w:val="0"/>
          <w:bCs w:val="0"/>
          <w:sz w:val="28"/>
          <w:szCs w:val="28"/>
          <w:highlight w:val="none"/>
        </w:rPr>
        <w:t>免费孕前优生健康检查</w:t>
      </w:r>
      <w:r>
        <w:rPr>
          <w:rFonts w:hint="eastAsia" w:ascii="仿宋" w:hAnsi="仿宋" w:eastAsia="仿宋" w:cs="仿宋"/>
          <w:b w:val="0"/>
          <w:bCs w:val="0"/>
          <w:sz w:val="28"/>
          <w:szCs w:val="28"/>
          <w:highlight w:val="none"/>
          <w:lang w:eastAsia="zh-CN"/>
        </w:rPr>
        <w:t>项目知晓率</w:t>
      </w:r>
      <w:r>
        <w:rPr>
          <w:rFonts w:hint="eastAsia" w:ascii="仿宋" w:hAnsi="仿宋" w:eastAsia="仿宋" w:cs="仿宋"/>
          <w:b w:val="0"/>
          <w:bCs w:val="0"/>
          <w:sz w:val="28"/>
          <w:szCs w:val="28"/>
          <w:highlight w:val="none"/>
          <w:lang w:val="en-US" w:eastAsia="zh-CN"/>
        </w:rPr>
        <w:t>100%。</w:t>
      </w:r>
    </w:p>
    <w:p>
      <w:pPr>
        <w:numPr>
          <w:ilvl w:val="0"/>
          <w:numId w:val="3"/>
        </w:numPr>
        <w:spacing w:line="6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上年度部门自评结果应用情况</w:t>
      </w:r>
    </w:p>
    <w:p>
      <w:pPr>
        <w:numPr>
          <w:ilvl w:val="0"/>
          <w:numId w:val="0"/>
        </w:numPr>
        <w:ind w:firstLine="640"/>
        <w:outlineLvl w:val="0"/>
        <w:rPr>
          <w:rFonts w:hint="eastAsia" w:ascii="仿宋" w:hAnsi="仿宋" w:eastAsia="仿宋" w:cs="仿宋"/>
          <w:b/>
          <w:sz w:val="28"/>
          <w:szCs w:val="28"/>
          <w:highlight w:val="none"/>
          <w:lang w:val="en-US" w:eastAsia="zh-CN"/>
        </w:rPr>
      </w:pPr>
      <w:r>
        <w:rPr>
          <w:rFonts w:hint="eastAsia" w:ascii="仿宋" w:hAnsi="仿宋" w:eastAsia="仿宋" w:cs="仿宋"/>
          <w:i w:val="0"/>
          <w:caps w:val="0"/>
          <w:color w:val="333333"/>
          <w:spacing w:val="0"/>
          <w:sz w:val="28"/>
          <w:szCs w:val="28"/>
          <w:highlight w:val="none"/>
          <w:shd w:val="clear" w:color="auto" w:fill="FFFFFF"/>
          <w:lang w:val="en-US" w:eastAsia="zh-CN"/>
        </w:rPr>
        <w:t>我市重大公共卫生服务和基本公共卫生服务支出项目自评得分为100分，其中：预算执行情况20分，产出指标40分，效益指标20分，满意度指标20分。</w:t>
      </w:r>
    </w:p>
    <w:p>
      <w:pPr>
        <w:numPr>
          <w:ilvl w:val="0"/>
          <w:numId w:val="0"/>
        </w:numPr>
        <w:spacing w:line="620" w:lineRule="exact"/>
        <w:ind w:leftChars="200"/>
        <w:rPr>
          <w:rFonts w:hint="eastAsia" w:ascii="楷体_GB2312" w:hAnsi="楷体" w:eastAsia="楷体_GB2312" w:cs="楷体_GB2312"/>
          <w:b/>
          <w:sz w:val="32"/>
          <w:szCs w:val="32"/>
        </w:rPr>
      </w:pPr>
    </w:p>
    <w:p>
      <w:pPr>
        <w:pStyle w:val="2"/>
        <w:rPr>
          <w:rFonts w:hint="eastAsia" w:ascii="楷体_GB2312" w:hAnsi="楷体" w:eastAsia="楷体_GB2312" w:cs="楷体_GB2312"/>
          <w:b/>
          <w:sz w:val="32"/>
          <w:szCs w:val="32"/>
        </w:rPr>
      </w:pPr>
    </w:p>
    <w:p>
      <w:pPr>
        <w:rPr>
          <w:rFonts w:hint="eastAsia" w:ascii="楷体_GB2312" w:hAnsi="楷体" w:eastAsia="楷体_GB2312" w:cs="楷体_GB2312"/>
          <w:b/>
          <w:sz w:val="32"/>
          <w:szCs w:val="32"/>
        </w:rPr>
      </w:pPr>
    </w:p>
    <w:p>
      <w:pPr>
        <w:pStyle w:val="2"/>
        <w:rPr>
          <w:rFonts w:hint="eastAsia"/>
        </w:rPr>
      </w:pPr>
    </w:p>
    <w:p>
      <w:pPr>
        <w:widowControl/>
        <w:rPr>
          <w:rFonts w:ascii="黑体" w:hAnsi="宋体" w:eastAsia="黑体" w:cs="黑体"/>
          <w:sz w:val="32"/>
          <w:szCs w:val="32"/>
        </w:rPr>
      </w:pPr>
      <w:r>
        <w:rPr>
          <w:rFonts w:hint="eastAsia" w:ascii="黑体" w:hAnsi="宋体" w:eastAsia="黑体" w:cs="黑体"/>
          <w:sz w:val="32"/>
          <w:szCs w:val="32"/>
        </w:rPr>
        <w:t>附件2</w:t>
      </w:r>
    </w:p>
    <w:p>
      <w:pPr>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lang w:val="en-US" w:eastAsia="zh-CN"/>
        </w:rPr>
        <w:t>2021</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基本公共卫生服务和重大公共卫生服务</w:t>
      </w:r>
      <w:r>
        <w:rPr>
          <w:rFonts w:hint="eastAsia" w:ascii="方正小标宋简体" w:hAnsi="宋体" w:eastAsia="方正小标宋简体" w:cs="方正小标宋简体"/>
          <w:sz w:val="44"/>
          <w:szCs w:val="44"/>
        </w:rPr>
        <w:t>项目自评表</w:t>
      </w:r>
    </w:p>
    <w:p/>
    <w:p>
      <w:pPr>
        <w:widowControl/>
        <w:jc w:val="left"/>
        <w:rPr>
          <w:rFonts w:ascii="楷体_GB2312" w:hAnsi="黑体" w:eastAsia="楷体_GB2312"/>
          <w:kern w:val="0"/>
          <w:sz w:val="48"/>
          <w:szCs w:val="48"/>
        </w:rPr>
      </w:pPr>
      <w:r>
        <w:rPr>
          <w:rFonts w:hint="eastAsia" w:ascii="楷体_GB2312" w:hAnsi="仿宋" w:eastAsia="楷体_GB2312" w:cs="楷体_GB2312"/>
          <w:kern w:val="0"/>
          <w:sz w:val="28"/>
          <w:szCs w:val="28"/>
        </w:rPr>
        <w:t>单位名称：</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439"/>
        <w:gridCol w:w="1002"/>
        <w:gridCol w:w="18"/>
        <w:gridCol w:w="905"/>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项目名称</w:t>
            </w:r>
          </w:p>
        </w:tc>
        <w:tc>
          <w:tcPr>
            <w:tcW w:w="7420" w:type="dxa"/>
            <w:gridSpan w:val="9"/>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bCs/>
                <w:sz w:val="21"/>
                <w:szCs w:val="21"/>
                <w:highlight w:val="none"/>
                <w:lang w:eastAsia="zh-CN"/>
              </w:rPr>
              <w:t>重大公共卫生项目</w:t>
            </w:r>
            <w:r>
              <w:rPr>
                <w:rFonts w:hint="eastAsia" w:ascii="仿宋" w:hAnsi="仿宋" w:eastAsia="仿宋" w:cs="仿宋"/>
                <w:bCs/>
                <w:sz w:val="21"/>
                <w:szCs w:val="21"/>
                <w:highlight w:val="none"/>
                <w:lang w:val="en-US" w:eastAsia="zh-CN"/>
              </w:rPr>
              <w:t>及基本公共卫生项目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主管部门</w:t>
            </w:r>
          </w:p>
        </w:tc>
        <w:tc>
          <w:tcPr>
            <w:tcW w:w="3364" w:type="dxa"/>
            <w:gridSpan w:val="4"/>
            <w:noWrap w:val="0"/>
            <w:vAlign w:val="center"/>
          </w:tcPr>
          <w:p>
            <w:pPr>
              <w:widowControl/>
              <w:snapToGrid w:val="0"/>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市卫健委</w:t>
            </w:r>
          </w:p>
        </w:tc>
        <w:tc>
          <w:tcPr>
            <w:tcW w:w="2520" w:type="dxa"/>
            <w:gridSpan w:val="3"/>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项目实施单位</w:t>
            </w:r>
          </w:p>
        </w:tc>
        <w:tc>
          <w:tcPr>
            <w:tcW w:w="1536"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黄石市妇幼保健院</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项目类别</w:t>
            </w:r>
          </w:p>
        </w:tc>
        <w:tc>
          <w:tcPr>
            <w:tcW w:w="7420" w:type="dxa"/>
            <w:gridSpan w:val="9"/>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1、部门预算项目   </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 xml:space="preserve">   2、市直专项   </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 xml:space="preserve">  3、省对下转移支付项目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项目属性</w:t>
            </w:r>
          </w:p>
        </w:tc>
        <w:tc>
          <w:tcPr>
            <w:tcW w:w="7420" w:type="dxa"/>
            <w:gridSpan w:val="9"/>
            <w:noWrap w:val="0"/>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1、持续性项目     </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 xml:space="preserve">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项目类型</w:t>
            </w:r>
          </w:p>
        </w:tc>
        <w:tc>
          <w:tcPr>
            <w:tcW w:w="7420" w:type="dxa"/>
            <w:gridSpan w:val="9"/>
            <w:noWrap w:val="0"/>
            <w:vAlign w:val="center"/>
          </w:tcPr>
          <w:p>
            <w:pPr>
              <w:widowControl/>
              <w:snapToGrid w:val="0"/>
              <w:jc w:val="left"/>
              <w:rPr>
                <w:rFonts w:hint="eastAsia" w:ascii="仿宋" w:hAnsi="仿宋" w:eastAsia="仿宋" w:cs="仿宋"/>
                <w:kern w:val="0"/>
                <w:sz w:val="21"/>
                <w:szCs w:val="21"/>
                <w:lang w:eastAsia="zh-CN"/>
              </w:rPr>
            </w:pPr>
            <w:r>
              <w:rPr>
                <w:rFonts w:hint="eastAsia" w:ascii="仿宋" w:hAnsi="仿宋" w:eastAsia="仿宋" w:cs="仿宋"/>
                <w:kern w:val="0"/>
                <w:sz w:val="21"/>
                <w:szCs w:val="21"/>
              </w:rPr>
              <w:t xml:space="preserve">1、常年性项目     </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 xml:space="preserve">   2、延续性项目 □      3、一次性项目 </w:t>
            </w:r>
            <w:r>
              <w:rPr>
                <w:rFonts w:hint="eastAsia" w:ascii="仿宋" w:hAnsi="仿宋" w:eastAsia="仿宋" w:cs="仿宋"/>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预算执行情况（万元）</w:t>
            </w:r>
          </w:p>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（20分）</w:t>
            </w:r>
          </w:p>
        </w:tc>
        <w:tc>
          <w:tcPr>
            <w:tcW w:w="1439" w:type="dxa"/>
            <w:noWrap w:val="0"/>
            <w:vAlign w:val="center"/>
          </w:tcPr>
          <w:p>
            <w:pPr>
              <w:widowControl/>
              <w:snapToGrid w:val="0"/>
              <w:jc w:val="center"/>
              <w:rPr>
                <w:rFonts w:hint="eastAsia" w:ascii="仿宋" w:hAnsi="仿宋" w:eastAsia="仿宋" w:cs="仿宋"/>
                <w:kern w:val="0"/>
                <w:sz w:val="21"/>
                <w:szCs w:val="21"/>
              </w:rPr>
            </w:pPr>
          </w:p>
        </w:tc>
        <w:tc>
          <w:tcPr>
            <w:tcW w:w="1002"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预算数（A）</w:t>
            </w:r>
          </w:p>
        </w:tc>
        <w:tc>
          <w:tcPr>
            <w:tcW w:w="1317" w:type="dxa"/>
            <w:gridSpan w:val="3"/>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执行数（B）</w:t>
            </w:r>
          </w:p>
        </w:tc>
        <w:tc>
          <w:tcPr>
            <w:tcW w:w="1466" w:type="dxa"/>
            <w:noWrap w:val="0"/>
            <w:vAlign w:val="center"/>
          </w:tcPr>
          <w:p>
            <w:pPr>
              <w:widowControl/>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执行率（B/A）</w:t>
            </w:r>
          </w:p>
        </w:tc>
        <w:tc>
          <w:tcPr>
            <w:tcW w:w="2196" w:type="dxa"/>
            <w:gridSpan w:val="3"/>
            <w:noWrap w:val="0"/>
            <w:vAlign w:val="center"/>
          </w:tcPr>
          <w:p>
            <w:pPr>
              <w:widowControl/>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得分</w:t>
            </w:r>
          </w:p>
          <w:p>
            <w:pPr>
              <w:widowControl/>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noWrap w:val="0"/>
            <w:vAlign w:val="center"/>
          </w:tcPr>
          <w:p>
            <w:pPr>
              <w:widowControl/>
              <w:snapToGrid w:val="0"/>
              <w:jc w:val="center"/>
              <w:rPr>
                <w:rFonts w:hint="eastAsia" w:ascii="仿宋" w:hAnsi="仿宋" w:eastAsia="仿宋" w:cs="仿宋"/>
                <w:kern w:val="0"/>
                <w:sz w:val="21"/>
                <w:szCs w:val="21"/>
              </w:rPr>
            </w:pPr>
          </w:p>
        </w:tc>
        <w:tc>
          <w:tcPr>
            <w:tcW w:w="1439"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bCs/>
                <w:sz w:val="21"/>
                <w:szCs w:val="21"/>
                <w:highlight w:val="none"/>
                <w:lang w:eastAsia="zh-CN"/>
              </w:rPr>
              <w:t>重大公共卫生项目</w:t>
            </w:r>
          </w:p>
        </w:tc>
        <w:tc>
          <w:tcPr>
            <w:tcW w:w="1002" w:type="dxa"/>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1317" w:type="dxa"/>
            <w:gridSpan w:val="3"/>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1466" w:type="dxa"/>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100</w:t>
            </w:r>
          </w:p>
        </w:tc>
        <w:tc>
          <w:tcPr>
            <w:tcW w:w="2196" w:type="dxa"/>
            <w:gridSpan w:val="3"/>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noWrap w:val="0"/>
            <w:vAlign w:val="center"/>
          </w:tcPr>
          <w:p>
            <w:pPr>
              <w:snapToGrid w:val="0"/>
              <w:jc w:val="center"/>
              <w:rPr>
                <w:rFonts w:hint="eastAsia" w:ascii="仿宋" w:hAnsi="仿宋" w:eastAsia="仿宋" w:cs="仿宋"/>
                <w:kern w:val="0"/>
                <w:sz w:val="21"/>
                <w:szCs w:val="21"/>
              </w:rPr>
            </w:pPr>
          </w:p>
        </w:tc>
        <w:tc>
          <w:tcPr>
            <w:tcW w:w="1439" w:type="dxa"/>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bCs/>
                <w:sz w:val="21"/>
                <w:szCs w:val="21"/>
                <w:highlight w:val="none"/>
                <w:lang w:val="en-US" w:eastAsia="zh-CN"/>
              </w:rPr>
              <w:t>基本公共卫生项目</w:t>
            </w:r>
          </w:p>
        </w:tc>
        <w:tc>
          <w:tcPr>
            <w:tcW w:w="1020" w:type="dxa"/>
            <w:gridSpan w:val="2"/>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195</w:t>
            </w:r>
          </w:p>
        </w:tc>
        <w:tc>
          <w:tcPr>
            <w:tcW w:w="1299" w:type="dxa"/>
            <w:gridSpan w:val="2"/>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195</w:t>
            </w:r>
          </w:p>
        </w:tc>
        <w:tc>
          <w:tcPr>
            <w:tcW w:w="1466" w:type="dxa"/>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100</w:t>
            </w:r>
          </w:p>
        </w:tc>
        <w:tc>
          <w:tcPr>
            <w:tcW w:w="2196" w:type="dxa"/>
            <w:gridSpan w:val="3"/>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noWrap w:val="0"/>
            <w:vAlign w:val="center"/>
          </w:tcPr>
          <w:p>
            <w:pPr>
              <w:snapToGrid w:val="0"/>
              <w:jc w:val="center"/>
              <w:rPr>
                <w:rFonts w:hint="eastAsia" w:ascii="仿宋" w:hAnsi="仿宋" w:eastAsia="仿宋" w:cs="仿宋"/>
                <w:kern w:val="0"/>
                <w:sz w:val="21"/>
                <w:szCs w:val="21"/>
              </w:rPr>
            </w:pPr>
          </w:p>
        </w:tc>
        <w:tc>
          <w:tcPr>
            <w:tcW w:w="1439" w:type="dxa"/>
            <w:noWrap w:val="0"/>
            <w:vAlign w:val="center"/>
          </w:tcPr>
          <w:p>
            <w:pPr>
              <w:widowControl/>
              <w:snapToGrid w:val="0"/>
              <w:jc w:val="center"/>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计划生育服务</w:t>
            </w:r>
          </w:p>
        </w:tc>
        <w:tc>
          <w:tcPr>
            <w:tcW w:w="1020" w:type="dxa"/>
            <w:gridSpan w:val="2"/>
            <w:noWrap w:val="0"/>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1299" w:type="dxa"/>
            <w:gridSpan w:val="2"/>
            <w:noWrap w:val="0"/>
            <w:vAlign w:val="center"/>
          </w:tcPr>
          <w:p>
            <w:pPr>
              <w:widowControl/>
              <w:snapToGrid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w:t>
            </w:r>
          </w:p>
        </w:tc>
        <w:tc>
          <w:tcPr>
            <w:tcW w:w="1466" w:type="dxa"/>
            <w:noWrap w:val="0"/>
            <w:vAlign w:val="center"/>
          </w:tcPr>
          <w:p>
            <w:pPr>
              <w:widowControl/>
              <w:snapToGrid w:val="0"/>
              <w:jc w:val="center"/>
              <w:rPr>
                <w:rFonts w:hint="default"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100</w:t>
            </w:r>
          </w:p>
        </w:tc>
        <w:tc>
          <w:tcPr>
            <w:tcW w:w="2196" w:type="dxa"/>
            <w:gridSpan w:val="3"/>
            <w:noWrap w:val="0"/>
            <w:vAlign w:val="center"/>
          </w:tcPr>
          <w:p>
            <w:pPr>
              <w:widowControl/>
              <w:snapToGrid w:val="0"/>
              <w:jc w:val="center"/>
              <w:rPr>
                <w:rFonts w:hint="default"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restart"/>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年度绩效目标1</w:t>
            </w:r>
          </w:p>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（XX分）</w:t>
            </w:r>
          </w:p>
        </w:tc>
        <w:tc>
          <w:tcPr>
            <w:tcW w:w="700" w:type="dxa"/>
            <w:noWrap w:val="0"/>
            <w:vAlign w:val="center"/>
          </w:tcPr>
          <w:p>
            <w:pPr>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1439"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2319" w:type="dxa"/>
            <w:gridSpan w:val="4"/>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三级指标</w:t>
            </w:r>
          </w:p>
        </w:tc>
        <w:tc>
          <w:tcPr>
            <w:tcW w:w="1466"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年初目标值（</w:t>
            </w:r>
            <w:r>
              <w:rPr>
                <w:rFonts w:hint="eastAsia" w:ascii="仿宋" w:hAnsi="仿宋" w:eastAsia="仿宋" w:cs="仿宋"/>
                <w:kern w:val="0"/>
                <w:sz w:val="21"/>
                <w:szCs w:val="21"/>
                <w:lang w:eastAsia="zh-CN"/>
              </w:rPr>
              <w:t>市级指标</w:t>
            </w:r>
            <w:r>
              <w:rPr>
                <w:rFonts w:hint="eastAsia" w:ascii="仿宋" w:hAnsi="仿宋" w:eastAsia="仿宋" w:cs="仿宋"/>
                <w:kern w:val="0"/>
                <w:sz w:val="21"/>
                <w:szCs w:val="21"/>
              </w:rPr>
              <w:t>）</w:t>
            </w:r>
          </w:p>
        </w:tc>
        <w:tc>
          <w:tcPr>
            <w:tcW w:w="1319" w:type="dxa"/>
            <w:gridSpan w:val="2"/>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实际完成值（B）</w:t>
            </w:r>
          </w:p>
        </w:tc>
        <w:tc>
          <w:tcPr>
            <w:tcW w:w="877"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hint="eastAsia" w:ascii="仿宋" w:hAnsi="仿宋" w:eastAsia="仿宋" w:cs="仿宋"/>
                <w:kern w:val="0"/>
                <w:sz w:val="21"/>
                <w:szCs w:val="21"/>
              </w:rPr>
            </w:pPr>
          </w:p>
        </w:tc>
        <w:tc>
          <w:tcPr>
            <w:tcW w:w="700" w:type="dxa"/>
            <w:vMerge w:val="restart"/>
            <w:noWrap w:val="0"/>
            <w:vAlign w:val="center"/>
          </w:tcPr>
          <w:p>
            <w:pPr>
              <w:snapToGrid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产出指标</w:t>
            </w:r>
          </w:p>
        </w:tc>
        <w:tc>
          <w:tcPr>
            <w:tcW w:w="1439" w:type="dxa"/>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孕产妇死亡率</w:t>
            </w:r>
          </w:p>
        </w:tc>
        <w:tc>
          <w:tcPr>
            <w:tcW w:w="2319" w:type="dxa"/>
            <w:gridSpan w:val="4"/>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3人</w:t>
            </w:r>
          </w:p>
        </w:tc>
        <w:tc>
          <w:tcPr>
            <w:tcW w:w="1466" w:type="dxa"/>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15/10万</w:t>
            </w:r>
          </w:p>
        </w:tc>
        <w:tc>
          <w:tcPr>
            <w:tcW w:w="1319" w:type="dxa"/>
            <w:gridSpan w:val="2"/>
            <w:noWrap w:val="0"/>
            <w:vAlign w:val="center"/>
          </w:tcPr>
          <w:p>
            <w:pPr>
              <w:widowControl/>
              <w:snapToGrid w:val="0"/>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eastAsia="zh-CN"/>
              </w:rPr>
              <w:t>12.68</w:t>
            </w:r>
          </w:p>
        </w:tc>
        <w:tc>
          <w:tcPr>
            <w:tcW w:w="877" w:type="dxa"/>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napToGrid w:val="0"/>
              <w:jc w:val="center"/>
              <w:rPr>
                <w:rFonts w:hint="eastAsia" w:ascii="仿宋" w:hAnsi="仿宋" w:eastAsia="仿宋" w:cs="仿宋"/>
                <w:kern w:val="0"/>
                <w:sz w:val="21"/>
                <w:szCs w:val="21"/>
              </w:rPr>
            </w:pPr>
          </w:p>
        </w:tc>
        <w:tc>
          <w:tcPr>
            <w:tcW w:w="700" w:type="dxa"/>
            <w:vMerge w:val="continue"/>
            <w:noWrap w:val="0"/>
            <w:vAlign w:val="center"/>
          </w:tcPr>
          <w:p>
            <w:pPr>
              <w:widowControl/>
              <w:snapToGrid w:val="0"/>
              <w:jc w:val="center"/>
              <w:rPr>
                <w:rFonts w:hint="eastAsia" w:ascii="仿宋" w:hAnsi="仿宋" w:eastAsia="仿宋" w:cs="仿宋"/>
                <w:kern w:val="0"/>
                <w:sz w:val="21"/>
                <w:szCs w:val="21"/>
              </w:rPr>
            </w:pPr>
          </w:p>
        </w:tc>
        <w:tc>
          <w:tcPr>
            <w:tcW w:w="1439" w:type="dxa"/>
            <w:noWrap w:val="0"/>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5岁以下儿童死亡率</w:t>
            </w:r>
          </w:p>
        </w:tc>
        <w:tc>
          <w:tcPr>
            <w:tcW w:w="2319" w:type="dxa"/>
            <w:gridSpan w:val="4"/>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103人</w:t>
            </w:r>
          </w:p>
        </w:tc>
        <w:tc>
          <w:tcPr>
            <w:tcW w:w="1466" w:type="dxa"/>
            <w:noWrap w:val="0"/>
            <w:vAlign w:val="center"/>
          </w:tcPr>
          <w:p>
            <w:pPr>
              <w:widowControl/>
              <w:snapToGrid w:val="0"/>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eastAsia="zh-CN"/>
              </w:rPr>
              <w:t>9‰</w:t>
            </w:r>
          </w:p>
        </w:tc>
        <w:tc>
          <w:tcPr>
            <w:tcW w:w="1319" w:type="dxa"/>
            <w:gridSpan w:val="2"/>
            <w:noWrap w:val="0"/>
            <w:vAlign w:val="center"/>
          </w:tcPr>
          <w:p>
            <w:pPr>
              <w:widowControl/>
              <w:snapToGrid w:val="0"/>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eastAsia="zh-CN"/>
              </w:rPr>
              <w:t>4.35%</w:t>
            </w:r>
          </w:p>
        </w:tc>
        <w:tc>
          <w:tcPr>
            <w:tcW w:w="877" w:type="dxa"/>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rPr>
            </w:pPr>
          </w:p>
        </w:tc>
        <w:tc>
          <w:tcPr>
            <w:tcW w:w="700" w:type="dxa"/>
            <w:vMerge w:val="continue"/>
            <w:noWrap w:val="0"/>
            <w:vAlign w:val="center"/>
          </w:tcPr>
          <w:p>
            <w:pPr>
              <w:snapToGrid w:val="0"/>
              <w:jc w:val="center"/>
              <w:rPr>
                <w:rFonts w:hint="eastAsia" w:ascii="仿宋" w:hAnsi="仿宋" w:eastAsia="仿宋" w:cs="仿宋"/>
                <w:kern w:val="0"/>
                <w:sz w:val="21"/>
                <w:szCs w:val="21"/>
              </w:rPr>
            </w:pPr>
          </w:p>
        </w:tc>
        <w:tc>
          <w:tcPr>
            <w:tcW w:w="1439" w:type="dxa"/>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婴儿死亡率</w:t>
            </w:r>
          </w:p>
        </w:tc>
        <w:tc>
          <w:tcPr>
            <w:tcW w:w="2319" w:type="dxa"/>
            <w:gridSpan w:val="4"/>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56人</w:t>
            </w:r>
          </w:p>
        </w:tc>
        <w:tc>
          <w:tcPr>
            <w:tcW w:w="1466" w:type="dxa"/>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7‰</w:t>
            </w:r>
          </w:p>
        </w:tc>
        <w:tc>
          <w:tcPr>
            <w:tcW w:w="1319" w:type="dxa"/>
            <w:gridSpan w:val="2"/>
            <w:noWrap w:val="0"/>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2.37%</w:t>
            </w:r>
          </w:p>
        </w:tc>
        <w:tc>
          <w:tcPr>
            <w:tcW w:w="877" w:type="dxa"/>
            <w:noWrap w:val="0"/>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700" w:type="dxa"/>
            <w:vMerge w:val="continue"/>
            <w:noWrap w:val="0"/>
            <w:vAlign w:val="center"/>
          </w:tcPr>
          <w:p>
            <w:pPr>
              <w:snapToGrid w:val="0"/>
              <w:jc w:val="center"/>
              <w:rPr>
                <w:rFonts w:hint="eastAsia" w:ascii="仿宋" w:hAnsi="仿宋" w:eastAsia="仿宋" w:cs="仿宋"/>
                <w:kern w:val="0"/>
                <w:sz w:val="21"/>
                <w:szCs w:val="21"/>
                <w:highlight w:val="none"/>
              </w:rPr>
            </w:pPr>
          </w:p>
        </w:tc>
        <w:tc>
          <w:tcPr>
            <w:tcW w:w="1439" w:type="dxa"/>
            <w:noWrap w:val="0"/>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孕产妇艾滋病、梅毒和乙肝检测率</w:t>
            </w:r>
          </w:p>
        </w:tc>
        <w:tc>
          <w:tcPr>
            <w:tcW w:w="2319" w:type="dxa"/>
            <w:gridSpan w:val="4"/>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rPr>
              <w:t>23463人</w:t>
            </w:r>
          </w:p>
        </w:tc>
        <w:tc>
          <w:tcPr>
            <w:tcW w:w="1466" w:type="dxa"/>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rPr>
              <w:t>100%</w:t>
            </w:r>
          </w:p>
        </w:tc>
        <w:tc>
          <w:tcPr>
            <w:tcW w:w="1319" w:type="dxa"/>
            <w:gridSpan w:val="2"/>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rPr>
              <w:t>100%</w:t>
            </w:r>
          </w:p>
        </w:tc>
        <w:tc>
          <w:tcPr>
            <w:tcW w:w="877" w:type="dxa"/>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700" w:type="dxa"/>
            <w:vMerge w:val="continue"/>
            <w:noWrap w:val="0"/>
            <w:vAlign w:val="center"/>
          </w:tcPr>
          <w:p>
            <w:pPr>
              <w:snapToGrid w:val="0"/>
              <w:jc w:val="center"/>
              <w:rPr>
                <w:rFonts w:hint="eastAsia" w:ascii="仿宋" w:hAnsi="仿宋" w:eastAsia="仿宋" w:cs="仿宋"/>
                <w:kern w:val="0"/>
                <w:sz w:val="21"/>
                <w:szCs w:val="21"/>
                <w:highlight w:val="none"/>
                <w:lang w:eastAsia="zh-CN"/>
              </w:rPr>
            </w:pPr>
          </w:p>
        </w:tc>
        <w:tc>
          <w:tcPr>
            <w:tcW w:w="1439" w:type="dxa"/>
            <w:noWrap w:val="0"/>
            <w:vAlign w:val="center"/>
          </w:tcPr>
          <w:p>
            <w:pPr>
              <w:widowControl/>
              <w:snapToGrid w:val="0"/>
              <w:jc w:val="both"/>
              <w:rPr>
                <w:rFonts w:hint="eastAsia" w:ascii="仿宋" w:hAnsi="仿宋" w:eastAsia="仿宋" w:cs="仿宋"/>
                <w:kern w:val="0"/>
                <w:sz w:val="21"/>
                <w:szCs w:val="21"/>
                <w:highlight w:val="none"/>
                <w:lang w:eastAsia="zh-CN"/>
              </w:rPr>
            </w:pPr>
            <w:r>
              <w:rPr>
                <w:rStyle w:val="6"/>
                <w:rFonts w:hint="eastAsia" w:ascii="仿宋" w:hAnsi="仿宋" w:eastAsia="仿宋" w:cs="仿宋"/>
                <w:color w:val="000000"/>
                <w:kern w:val="0"/>
                <w:sz w:val="21"/>
                <w:szCs w:val="21"/>
                <w:highlight w:val="none"/>
                <w:lang w:val="en-US" w:eastAsia="zh-CN"/>
              </w:rPr>
              <w:t>新生儿疾病筛查率</w:t>
            </w:r>
          </w:p>
        </w:tc>
        <w:tc>
          <w:tcPr>
            <w:tcW w:w="2319" w:type="dxa"/>
            <w:gridSpan w:val="4"/>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19590</w:t>
            </w:r>
          </w:p>
        </w:tc>
        <w:tc>
          <w:tcPr>
            <w:tcW w:w="1466" w:type="dxa"/>
            <w:noWrap w:val="0"/>
            <w:vAlign w:val="center"/>
          </w:tcPr>
          <w:p>
            <w:pPr>
              <w:widowControl/>
              <w:snapToGrid w:val="0"/>
              <w:jc w:val="center"/>
              <w:rPr>
                <w:rStyle w:val="6"/>
                <w:rFonts w:hint="eastAsia" w:ascii="仿宋" w:hAnsi="仿宋" w:eastAsia="仿宋" w:cs="仿宋"/>
                <w:color w:val="000000"/>
                <w:kern w:val="0"/>
                <w:sz w:val="21"/>
                <w:szCs w:val="21"/>
                <w:highlight w:val="none"/>
                <w:lang w:val="en-US" w:eastAsia="zh-CN"/>
              </w:rPr>
            </w:pPr>
            <w:r>
              <w:rPr>
                <w:rStyle w:val="6"/>
                <w:rFonts w:hint="eastAsia" w:ascii="仿宋" w:hAnsi="仿宋" w:eastAsia="仿宋" w:cs="仿宋"/>
                <w:color w:val="000000"/>
                <w:kern w:val="0"/>
                <w:sz w:val="21"/>
                <w:szCs w:val="21"/>
                <w:highlight w:val="none"/>
                <w:lang w:val="en-US" w:eastAsia="zh-CN"/>
              </w:rPr>
              <w:t>≥98%</w:t>
            </w:r>
          </w:p>
        </w:tc>
        <w:tc>
          <w:tcPr>
            <w:tcW w:w="1319" w:type="dxa"/>
            <w:gridSpan w:val="2"/>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99.26</w:t>
            </w:r>
          </w:p>
        </w:tc>
        <w:tc>
          <w:tcPr>
            <w:tcW w:w="877" w:type="dxa"/>
            <w:noWrap w:val="0"/>
            <w:vAlign w:val="center"/>
          </w:tcPr>
          <w:p>
            <w:pPr>
              <w:widowControl/>
              <w:snapToGrid w:val="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700" w:type="dxa"/>
            <w:vMerge w:val="continue"/>
            <w:noWrap w:val="0"/>
            <w:vAlign w:val="center"/>
          </w:tcPr>
          <w:p>
            <w:pPr>
              <w:snapToGrid w:val="0"/>
              <w:jc w:val="center"/>
              <w:rPr>
                <w:rFonts w:hint="eastAsia" w:ascii="仿宋" w:hAnsi="仿宋" w:eastAsia="仿宋" w:cs="仿宋"/>
                <w:kern w:val="0"/>
                <w:sz w:val="21"/>
                <w:szCs w:val="21"/>
                <w:highlight w:val="none"/>
                <w:lang w:eastAsia="zh-CN"/>
              </w:rPr>
            </w:pPr>
          </w:p>
        </w:tc>
        <w:tc>
          <w:tcPr>
            <w:tcW w:w="1439" w:type="dxa"/>
            <w:noWrap w:val="0"/>
            <w:vAlign w:val="center"/>
          </w:tcPr>
          <w:p>
            <w:pPr>
              <w:widowControl/>
              <w:snapToGrid w:val="0"/>
              <w:jc w:val="both"/>
              <w:rPr>
                <w:rFonts w:hint="eastAsia" w:ascii="仿宋" w:hAnsi="仿宋" w:eastAsia="仿宋" w:cs="仿宋"/>
                <w:kern w:val="0"/>
                <w:sz w:val="21"/>
                <w:szCs w:val="21"/>
                <w:highlight w:val="none"/>
                <w:lang w:eastAsia="zh-CN"/>
              </w:rPr>
            </w:pPr>
            <w:r>
              <w:rPr>
                <w:rStyle w:val="6"/>
                <w:rFonts w:hint="eastAsia" w:ascii="仿宋" w:hAnsi="仿宋" w:eastAsia="仿宋" w:cs="仿宋"/>
                <w:color w:val="000000"/>
                <w:kern w:val="0"/>
                <w:sz w:val="21"/>
                <w:szCs w:val="21"/>
                <w:highlight w:val="none"/>
                <w:lang w:val="en-US" w:eastAsia="zh-CN"/>
              </w:rPr>
              <w:t>新生儿听力筛查率</w:t>
            </w:r>
          </w:p>
        </w:tc>
        <w:tc>
          <w:tcPr>
            <w:tcW w:w="2319" w:type="dxa"/>
            <w:gridSpan w:val="4"/>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18864</w:t>
            </w:r>
          </w:p>
        </w:tc>
        <w:tc>
          <w:tcPr>
            <w:tcW w:w="1466" w:type="dxa"/>
            <w:noWrap w:val="0"/>
            <w:vAlign w:val="center"/>
          </w:tcPr>
          <w:p>
            <w:pPr>
              <w:widowControl/>
              <w:snapToGrid w:val="0"/>
              <w:jc w:val="center"/>
              <w:rPr>
                <w:rStyle w:val="6"/>
                <w:rFonts w:hint="eastAsia" w:ascii="仿宋" w:hAnsi="仿宋" w:eastAsia="仿宋" w:cs="仿宋"/>
                <w:color w:val="000000"/>
                <w:kern w:val="0"/>
                <w:sz w:val="21"/>
                <w:szCs w:val="21"/>
                <w:highlight w:val="none"/>
                <w:lang w:val="en-US" w:eastAsia="zh-CN"/>
              </w:rPr>
            </w:pPr>
            <w:r>
              <w:rPr>
                <w:rStyle w:val="6"/>
                <w:rFonts w:hint="eastAsia" w:ascii="仿宋" w:hAnsi="仿宋" w:eastAsia="仿宋" w:cs="仿宋"/>
                <w:color w:val="000000"/>
                <w:kern w:val="0"/>
                <w:sz w:val="21"/>
                <w:szCs w:val="21"/>
                <w:highlight w:val="none"/>
                <w:lang w:val="en-US" w:eastAsia="zh-CN"/>
              </w:rPr>
              <w:t>≥90%</w:t>
            </w:r>
          </w:p>
        </w:tc>
        <w:tc>
          <w:tcPr>
            <w:tcW w:w="1319" w:type="dxa"/>
            <w:gridSpan w:val="2"/>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95.58</w:t>
            </w:r>
          </w:p>
        </w:tc>
        <w:tc>
          <w:tcPr>
            <w:tcW w:w="877" w:type="dxa"/>
            <w:noWrap w:val="0"/>
            <w:vAlign w:val="center"/>
          </w:tcPr>
          <w:p>
            <w:pPr>
              <w:widowControl/>
              <w:snapToGrid w:val="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700" w:type="dxa"/>
            <w:vMerge w:val="continue"/>
            <w:noWrap w:val="0"/>
            <w:vAlign w:val="center"/>
          </w:tcPr>
          <w:p>
            <w:pPr>
              <w:snapToGrid w:val="0"/>
              <w:jc w:val="center"/>
              <w:rPr>
                <w:rFonts w:hint="eastAsia" w:ascii="仿宋" w:hAnsi="仿宋" w:eastAsia="仿宋" w:cs="仿宋"/>
                <w:kern w:val="0"/>
                <w:sz w:val="21"/>
                <w:szCs w:val="21"/>
                <w:highlight w:val="none"/>
                <w:lang w:eastAsia="zh-CN"/>
              </w:rPr>
            </w:pPr>
          </w:p>
        </w:tc>
        <w:tc>
          <w:tcPr>
            <w:tcW w:w="1439" w:type="dxa"/>
            <w:noWrap w:val="0"/>
            <w:vAlign w:val="center"/>
          </w:tcPr>
          <w:p>
            <w:pPr>
              <w:widowControl/>
              <w:snapToGrid w:val="0"/>
              <w:jc w:val="both"/>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eastAsia="zh-CN"/>
              </w:rPr>
              <w:t>免费婚检完成率</w:t>
            </w:r>
          </w:p>
        </w:tc>
        <w:tc>
          <w:tcPr>
            <w:tcW w:w="2319" w:type="dxa"/>
            <w:gridSpan w:val="4"/>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10453人</w:t>
            </w:r>
          </w:p>
        </w:tc>
        <w:tc>
          <w:tcPr>
            <w:tcW w:w="1466" w:type="dxa"/>
            <w:noWrap w:val="0"/>
            <w:vAlign w:val="center"/>
          </w:tcPr>
          <w:p>
            <w:pPr>
              <w:widowControl/>
              <w:snapToGrid w:val="0"/>
              <w:jc w:val="center"/>
              <w:rPr>
                <w:rFonts w:hint="eastAsia" w:ascii="仿宋" w:hAnsi="仿宋" w:eastAsia="仿宋" w:cs="仿宋"/>
                <w:kern w:val="0"/>
                <w:sz w:val="21"/>
                <w:szCs w:val="21"/>
                <w:highlight w:val="none"/>
                <w:lang w:val="en-US"/>
              </w:rPr>
            </w:pPr>
            <w:r>
              <w:rPr>
                <w:rStyle w:val="6"/>
                <w:rFonts w:hint="eastAsia" w:ascii="仿宋" w:hAnsi="仿宋" w:eastAsia="仿宋" w:cs="仿宋"/>
                <w:color w:val="000000"/>
                <w:kern w:val="0"/>
                <w:sz w:val="21"/>
                <w:szCs w:val="21"/>
                <w:highlight w:val="none"/>
                <w:lang w:val="en-US" w:eastAsia="zh-CN"/>
              </w:rPr>
              <w:t>≥70%</w:t>
            </w:r>
          </w:p>
        </w:tc>
        <w:tc>
          <w:tcPr>
            <w:tcW w:w="1319" w:type="dxa"/>
            <w:gridSpan w:val="2"/>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rPr>
              <w:t>89.34</w:t>
            </w:r>
          </w:p>
        </w:tc>
        <w:tc>
          <w:tcPr>
            <w:tcW w:w="877" w:type="dxa"/>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700"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1439" w:type="dxa"/>
            <w:noWrap w:val="0"/>
            <w:vAlign w:val="center"/>
          </w:tcPr>
          <w:p>
            <w:pPr>
              <w:widowControl/>
              <w:snapToGrid w:val="0"/>
              <w:jc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eastAsia="zh-CN"/>
              </w:rPr>
              <w:t>免费孕检完成率</w:t>
            </w:r>
          </w:p>
        </w:tc>
        <w:tc>
          <w:tcPr>
            <w:tcW w:w="2319" w:type="dxa"/>
            <w:gridSpan w:val="4"/>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9536人</w:t>
            </w:r>
          </w:p>
        </w:tc>
        <w:tc>
          <w:tcPr>
            <w:tcW w:w="1466" w:type="dxa"/>
            <w:noWrap w:val="0"/>
            <w:vAlign w:val="center"/>
          </w:tcPr>
          <w:p>
            <w:pPr>
              <w:widowControl/>
              <w:snapToGrid w:val="0"/>
              <w:jc w:val="center"/>
              <w:rPr>
                <w:rFonts w:hint="eastAsia" w:ascii="仿宋" w:hAnsi="仿宋" w:eastAsia="仿宋" w:cs="仿宋"/>
                <w:kern w:val="0"/>
                <w:sz w:val="21"/>
                <w:szCs w:val="21"/>
                <w:highlight w:val="none"/>
                <w:lang w:val="en-US"/>
              </w:rPr>
            </w:pPr>
            <w:r>
              <w:rPr>
                <w:rStyle w:val="6"/>
                <w:rFonts w:hint="eastAsia" w:ascii="仿宋" w:hAnsi="仿宋" w:eastAsia="仿宋" w:cs="仿宋"/>
                <w:color w:val="000000"/>
                <w:kern w:val="0"/>
                <w:sz w:val="21"/>
                <w:szCs w:val="21"/>
                <w:highlight w:val="none"/>
                <w:lang w:val="en-US" w:eastAsia="zh-CN"/>
              </w:rPr>
              <w:t>≥80%</w:t>
            </w:r>
          </w:p>
        </w:tc>
        <w:tc>
          <w:tcPr>
            <w:tcW w:w="1319" w:type="dxa"/>
            <w:gridSpan w:val="2"/>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rPr>
              <w:t>80.38%</w:t>
            </w:r>
          </w:p>
        </w:tc>
        <w:tc>
          <w:tcPr>
            <w:tcW w:w="877" w:type="dxa"/>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700" w:type="dxa"/>
            <w:vMerge w:val="restart"/>
            <w:noWrap w:val="0"/>
            <w:vAlign w:val="center"/>
          </w:tcPr>
          <w:p>
            <w:pPr>
              <w:widowControl/>
              <w:snapToGrid w:val="0"/>
              <w:jc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eastAsia="zh-CN"/>
              </w:rPr>
              <w:t>效益指标</w:t>
            </w:r>
          </w:p>
        </w:tc>
        <w:tc>
          <w:tcPr>
            <w:tcW w:w="1439" w:type="dxa"/>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增补叶酸预防神经管缺陷项目</w:t>
            </w:r>
          </w:p>
        </w:tc>
        <w:tc>
          <w:tcPr>
            <w:tcW w:w="2319" w:type="dxa"/>
            <w:gridSpan w:val="4"/>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24302人份</w:t>
            </w:r>
          </w:p>
        </w:tc>
        <w:tc>
          <w:tcPr>
            <w:tcW w:w="1466" w:type="dxa"/>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100%</w:t>
            </w:r>
          </w:p>
        </w:tc>
        <w:tc>
          <w:tcPr>
            <w:tcW w:w="1319" w:type="dxa"/>
            <w:gridSpan w:val="2"/>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110.46%</w:t>
            </w:r>
          </w:p>
        </w:tc>
        <w:tc>
          <w:tcPr>
            <w:tcW w:w="877" w:type="dxa"/>
            <w:noWrap w:val="0"/>
            <w:vAlign w:val="center"/>
          </w:tcPr>
          <w:p>
            <w:pPr>
              <w:widowControl/>
              <w:snapToGrid w:val="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700"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1439" w:type="dxa"/>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贫困”两癌”检查项目</w:t>
            </w:r>
          </w:p>
        </w:tc>
        <w:tc>
          <w:tcPr>
            <w:tcW w:w="2319" w:type="dxa"/>
            <w:gridSpan w:val="4"/>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eastAsia="zh-CN"/>
              </w:rPr>
              <w:t>大冶两癌</w:t>
            </w:r>
            <w:r>
              <w:rPr>
                <w:rFonts w:hint="eastAsia" w:ascii="仿宋" w:hAnsi="仿宋" w:eastAsia="仿宋" w:cs="仿宋"/>
                <w:kern w:val="0"/>
                <w:sz w:val="21"/>
                <w:szCs w:val="21"/>
                <w:highlight w:val="none"/>
                <w:lang w:val="en-US" w:eastAsia="zh-CN"/>
              </w:rPr>
              <w:t>1714人；         阳新两癌7574人</w:t>
            </w:r>
          </w:p>
        </w:tc>
        <w:tc>
          <w:tcPr>
            <w:tcW w:w="1466" w:type="dxa"/>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100%</w:t>
            </w:r>
          </w:p>
        </w:tc>
        <w:tc>
          <w:tcPr>
            <w:tcW w:w="1319" w:type="dxa"/>
            <w:gridSpan w:val="2"/>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100%</w:t>
            </w:r>
          </w:p>
        </w:tc>
        <w:tc>
          <w:tcPr>
            <w:tcW w:w="877" w:type="dxa"/>
            <w:noWrap w:val="0"/>
            <w:vAlign w:val="center"/>
          </w:tcPr>
          <w:p>
            <w:pPr>
              <w:widowControl/>
              <w:snapToGrid w:val="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700" w:type="dxa"/>
            <w:vMerge w:val="restart"/>
            <w:noWrap w:val="0"/>
            <w:vAlign w:val="center"/>
          </w:tcPr>
          <w:p>
            <w:pPr>
              <w:widowControl/>
              <w:snapToGrid w:val="0"/>
              <w:jc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rPr>
              <w:t>满意度指标</w:t>
            </w:r>
          </w:p>
        </w:tc>
        <w:tc>
          <w:tcPr>
            <w:tcW w:w="1439" w:type="dxa"/>
            <w:noWrap w:val="0"/>
            <w:vAlign w:val="center"/>
          </w:tcPr>
          <w:p>
            <w:pPr>
              <w:widowControl/>
              <w:snapToGrid w:val="0"/>
              <w:jc w:val="both"/>
              <w:rPr>
                <w:rFonts w:hint="eastAsia" w:ascii="仿宋" w:hAnsi="仿宋" w:eastAsia="仿宋" w:cs="仿宋"/>
                <w:kern w:val="0"/>
                <w:sz w:val="21"/>
                <w:szCs w:val="21"/>
                <w:highlight w:val="none"/>
                <w:lang w:val="en-US" w:eastAsia="zh-CN" w:bidi="ar-SA"/>
              </w:rPr>
            </w:pPr>
            <w:r>
              <w:rPr>
                <w:rFonts w:hint="eastAsia" w:ascii="仿宋" w:hAnsi="仿宋" w:eastAsia="仿宋" w:cs="仿宋"/>
                <w:b w:val="0"/>
                <w:bCs w:val="0"/>
                <w:color w:val="000000"/>
                <w:spacing w:val="-6"/>
                <w:sz w:val="21"/>
                <w:szCs w:val="21"/>
                <w:highlight w:val="none"/>
                <w:shd w:val="clear" w:color="auto" w:fill="FFFFFF"/>
              </w:rPr>
              <w:t>预防艾滋、乙肝、梅毒母婴传播项目</w:t>
            </w:r>
            <w:r>
              <w:rPr>
                <w:rFonts w:hint="eastAsia" w:ascii="仿宋" w:hAnsi="仿宋" w:eastAsia="仿宋" w:cs="仿宋"/>
                <w:b w:val="0"/>
                <w:bCs w:val="0"/>
                <w:color w:val="000000"/>
                <w:spacing w:val="-6"/>
                <w:sz w:val="21"/>
                <w:szCs w:val="21"/>
                <w:highlight w:val="none"/>
                <w:shd w:val="clear" w:color="auto" w:fill="FFFFFF"/>
                <w:lang w:eastAsia="zh-CN"/>
              </w:rPr>
              <w:t>知晓率</w:t>
            </w:r>
          </w:p>
        </w:tc>
        <w:tc>
          <w:tcPr>
            <w:tcW w:w="2319" w:type="dxa"/>
            <w:gridSpan w:val="4"/>
            <w:noWrap w:val="0"/>
            <w:vAlign w:val="center"/>
          </w:tcPr>
          <w:p>
            <w:pPr>
              <w:widowControl/>
              <w:snapToGrid w:val="0"/>
              <w:jc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val="en-US" w:eastAsia="zh-CN"/>
              </w:rPr>
              <w:t>23463人知晓</w:t>
            </w:r>
          </w:p>
        </w:tc>
        <w:tc>
          <w:tcPr>
            <w:tcW w:w="1466" w:type="dxa"/>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100%</w:t>
            </w:r>
          </w:p>
        </w:tc>
        <w:tc>
          <w:tcPr>
            <w:tcW w:w="1319" w:type="dxa"/>
            <w:gridSpan w:val="2"/>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100%</w:t>
            </w:r>
          </w:p>
        </w:tc>
        <w:tc>
          <w:tcPr>
            <w:tcW w:w="877" w:type="dxa"/>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700" w:type="dxa"/>
            <w:vMerge w:val="continue"/>
            <w:noWrap w:val="0"/>
            <w:vAlign w:val="center"/>
          </w:tcPr>
          <w:p>
            <w:pPr>
              <w:widowControl/>
              <w:snapToGrid w:val="0"/>
              <w:jc w:val="center"/>
              <w:rPr>
                <w:rFonts w:hint="eastAsia" w:ascii="仿宋" w:hAnsi="仿宋" w:eastAsia="仿宋" w:cs="仿宋"/>
                <w:kern w:val="0"/>
                <w:sz w:val="21"/>
                <w:szCs w:val="21"/>
                <w:highlight w:val="none"/>
              </w:rPr>
            </w:pPr>
          </w:p>
        </w:tc>
        <w:tc>
          <w:tcPr>
            <w:tcW w:w="1439" w:type="dxa"/>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b w:val="0"/>
                <w:bCs w:val="0"/>
                <w:sz w:val="21"/>
                <w:szCs w:val="21"/>
                <w:highlight w:val="none"/>
              </w:rPr>
              <w:t>免费婚前医学检查</w:t>
            </w:r>
            <w:r>
              <w:rPr>
                <w:rFonts w:hint="eastAsia" w:ascii="仿宋" w:hAnsi="仿宋" w:eastAsia="仿宋" w:cs="仿宋"/>
                <w:b w:val="0"/>
                <w:bCs w:val="0"/>
                <w:sz w:val="21"/>
                <w:szCs w:val="21"/>
                <w:highlight w:val="none"/>
                <w:lang w:eastAsia="zh-CN"/>
              </w:rPr>
              <w:t>及</w:t>
            </w:r>
            <w:r>
              <w:rPr>
                <w:rFonts w:hint="eastAsia" w:ascii="仿宋" w:hAnsi="仿宋" w:eastAsia="仿宋" w:cs="仿宋"/>
                <w:b w:val="0"/>
                <w:bCs w:val="0"/>
                <w:sz w:val="21"/>
                <w:szCs w:val="21"/>
                <w:highlight w:val="none"/>
              </w:rPr>
              <w:t>免费孕前优生健康检查</w:t>
            </w:r>
            <w:r>
              <w:rPr>
                <w:rFonts w:hint="eastAsia" w:ascii="仿宋" w:hAnsi="仿宋" w:eastAsia="仿宋" w:cs="仿宋"/>
                <w:b w:val="0"/>
                <w:bCs w:val="0"/>
                <w:sz w:val="21"/>
                <w:szCs w:val="21"/>
                <w:highlight w:val="none"/>
                <w:lang w:eastAsia="zh-CN"/>
              </w:rPr>
              <w:t>项目</w:t>
            </w:r>
          </w:p>
        </w:tc>
        <w:tc>
          <w:tcPr>
            <w:tcW w:w="2319" w:type="dxa"/>
            <w:gridSpan w:val="4"/>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b w:val="0"/>
                <w:bCs w:val="0"/>
                <w:sz w:val="21"/>
                <w:szCs w:val="21"/>
                <w:highlight w:val="none"/>
                <w:lang w:val="en-US" w:eastAsia="zh-CN"/>
              </w:rPr>
              <w:t>婚前检查10453人；孕前优生检查9536人</w:t>
            </w:r>
          </w:p>
        </w:tc>
        <w:tc>
          <w:tcPr>
            <w:tcW w:w="1466" w:type="dxa"/>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100%</w:t>
            </w:r>
          </w:p>
        </w:tc>
        <w:tc>
          <w:tcPr>
            <w:tcW w:w="1319" w:type="dxa"/>
            <w:gridSpan w:val="2"/>
            <w:noWrap w:val="0"/>
            <w:vAlign w:val="center"/>
          </w:tcPr>
          <w:p>
            <w:pPr>
              <w:widowControl/>
              <w:snapToGrid w:val="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100%</w:t>
            </w:r>
          </w:p>
        </w:tc>
        <w:tc>
          <w:tcPr>
            <w:tcW w:w="877" w:type="dxa"/>
            <w:noWrap w:val="0"/>
            <w:vAlign w:val="center"/>
          </w:tcPr>
          <w:p>
            <w:pPr>
              <w:widowControl/>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noWrap w:val="0"/>
            <w:vAlign w:val="center"/>
          </w:tcPr>
          <w:p>
            <w:pPr>
              <w:widowControl/>
              <w:snapToGrid w:val="0"/>
              <w:jc w:val="center"/>
              <w:rPr>
                <w:rFonts w:ascii="仿宋_GB2312" w:hAnsi="宋体" w:eastAsia="仿宋_GB2312"/>
                <w:kern w:val="0"/>
                <w:highlight w:val="none"/>
              </w:rPr>
            </w:pPr>
            <w:r>
              <w:rPr>
                <w:rFonts w:hint="eastAsia" w:ascii="仿宋_GB2312" w:hAnsi="宋体" w:eastAsia="仿宋_GB2312" w:cs="仿宋_GB2312"/>
                <w:kern w:val="0"/>
                <w:highlight w:val="none"/>
              </w:rPr>
              <w:t>总分</w:t>
            </w:r>
          </w:p>
        </w:tc>
        <w:tc>
          <w:tcPr>
            <w:tcW w:w="8120" w:type="dxa"/>
            <w:gridSpan w:val="10"/>
            <w:noWrap w:val="0"/>
            <w:vAlign w:val="center"/>
          </w:tcPr>
          <w:p>
            <w:pPr>
              <w:widowControl/>
              <w:snapToGrid w:val="0"/>
              <w:jc w:val="center"/>
              <w:rPr>
                <w:rFonts w:hint="default" w:ascii="仿宋_GB2312" w:hAnsi="宋体" w:eastAsia="仿宋_GB2312"/>
                <w:kern w:val="0"/>
                <w:highlight w:val="none"/>
                <w:lang w:val="en-US" w:eastAsia="zh-CN"/>
              </w:rPr>
            </w:pPr>
            <w:r>
              <w:rPr>
                <w:rFonts w:hint="eastAsia" w:ascii="仿宋_GB2312" w:hAnsi="宋体" w:eastAsia="仿宋_GB2312"/>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1528" w:type="dxa"/>
            <w:gridSpan w:val="2"/>
            <w:noWrap w:val="0"/>
            <w:vAlign w:val="center"/>
          </w:tcPr>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偏差大或</w:t>
            </w:r>
          </w:p>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目标未完成</w:t>
            </w:r>
          </w:p>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原因分析</w:t>
            </w:r>
          </w:p>
        </w:tc>
        <w:tc>
          <w:tcPr>
            <w:tcW w:w="7420" w:type="dxa"/>
            <w:gridSpan w:val="9"/>
            <w:noWrap w:val="0"/>
            <w:vAlign w:val="center"/>
          </w:tcPr>
          <w:p>
            <w:pPr>
              <w:spacing w:line="620" w:lineRule="exact"/>
              <w:ind w:firstLine="560" w:firstLineChars="200"/>
              <w:rPr>
                <w:rFonts w:ascii="仿宋_GB2312" w:hAnsi="宋体" w:eastAsia="仿宋_GB2312"/>
                <w:kern w:val="0"/>
                <w:highlight w:val="none"/>
              </w:rPr>
            </w:pPr>
            <w:r>
              <w:rPr>
                <w:rFonts w:hint="eastAsia" w:ascii="仿宋" w:hAnsi="仿宋" w:eastAsia="仿宋" w:cs="仿宋"/>
                <w:color w:val="auto"/>
                <w:sz w:val="28"/>
                <w:szCs w:val="28"/>
                <w:highlight w:val="none"/>
                <w:lang w:val="en-US" w:eastAsia="zh-CN"/>
              </w:rPr>
              <w:t>“两免”项目未完成目标任务。目标人群数较2020年增加。加之</w:t>
            </w:r>
            <w:r>
              <w:rPr>
                <w:rFonts w:hint="eastAsia" w:ascii="仿宋" w:hAnsi="仿宋" w:eastAsia="仿宋" w:cs="仿宋"/>
                <w:b w:val="0"/>
                <w:bCs w:val="0"/>
                <w:i w:val="0"/>
                <w:caps w:val="0"/>
                <w:color w:val="auto"/>
                <w:spacing w:val="7"/>
                <w:sz w:val="28"/>
                <w:szCs w:val="28"/>
                <w:highlight w:val="none"/>
                <w:shd w:val="clear" w:color="auto" w:fill="FFFFFF"/>
                <w:lang w:val="en-US" w:eastAsia="zh-CN"/>
              </w:rPr>
              <w:t>社区计生服务宣传、协调工作不到位。</w:t>
            </w:r>
            <w:r>
              <w:rPr>
                <w:rFonts w:hint="eastAsia" w:ascii="仿宋" w:hAnsi="仿宋" w:eastAsia="仿宋" w:cs="仿宋"/>
                <w:i w:val="0"/>
                <w:caps w:val="0"/>
                <w:color w:val="auto"/>
                <w:spacing w:val="7"/>
                <w:sz w:val="28"/>
                <w:szCs w:val="28"/>
                <w:highlight w:val="none"/>
                <w:shd w:val="clear" w:color="auto" w:fill="FFFFFF"/>
              </w:rPr>
              <w:t>计划怀孕的夫妇</w:t>
            </w:r>
            <w:r>
              <w:rPr>
                <w:rFonts w:hint="eastAsia" w:ascii="仿宋" w:hAnsi="仿宋" w:eastAsia="仿宋" w:cs="仿宋"/>
                <w:i w:val="0"/>
                <w:caps w:val="0"/>
                <w:color w:val="auto"/>
                <w:spacing w:val="7"/>
                <w:sz w:val="28"/>
                <w:szCs w:val="28"/>
                <w:highlight w:val="none"/>
                <w:shd w:val="clear" w:color="auto" w:fill="FFFFFF"/>
                <w:lang w:val="en-US" w:eastAsia="zh-CN"/>
              </w:rPr>
              <w:t>对孕前优生项目不了解。社区协调沟通工作不细致，计划怀孕的夫妇未按预约时间来检查。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jc w:val="center"/>
        </w:trPr>
        <w:tc>
          <w:tcPr>
            <w:tcW w:w="1528" w:type="dxa"/>
            <w:gridSpan w:val="2"/>
            <w:noWrap w:val="0"/>
            <w:vAlign w:val="center"/>
          </w:tcPr>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改进措施及</w:t>
            </w:r>
          </w:p>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结果应用方案</w:t>
            </w:r>
          </w:p>
        </w:tc>
        <w:tc>
          <w:tcPr>
            <w:tcW w:w="7420" w:type="dxa"/>
            <w:gridSpan w:val="9"/>
            <w:noWrap w:val="0"/>
            <w:vAlign w:val="center"/>
          </w:tcPr>
          <w:p>
            <w:pPr>
              <w:keepNext w:val="0"/>
              <w:keepLines w:val="0"/>
              <w:pageBreakBefore w:val="0"/>
              <w:kinsoku/>
              <w:wordWrap/>
              <w:overflowPunct/>
              <w:topLinePunct w:val="0"/>
              <w:bidi w:val="0"/>
              <w:spacing w:line="360" w:lineRule="auto"/>
              <w:ind w:firstLine="560" w:firstLineChars="200"/>
              <w:jc w:val="both"/>
              <w:textAlignment w:val="auto"/>
              <w:rPr>
                <w:rFonts w:ascii="仿宋_GB2312" w:hAnsi="宋体" w:eastAsia="仿宋_GB2312"/>
                <w:kern w:val="0"/>
                <w:highlight w:val="none"/>
              </w:rPr>
            </w:pPr>
            <w:r>
              <w:rPr>
                <w:rFonts w:hint="eastAsia" w:ascii="仿宋" w:hAnsi="仿宋" w:eastAsia="仿宋" w:cs="仿宋"/>
                <w:sz w:val="28"/>
                <w:szCs w:val="28"/>
                <w:highlight w:val="none"/>
                <w:lang w:val="en-US" w:eastAsia="zh-CN"/>
              </w:rPr>
              <w:t>两免项目</w:t>
            </w:r>
            <w:r>
              <w:rPr>
                <w:rFonts w:hint="eastAsia" w:ascii="仿宋" w:hAnsi="仿宋" w:eastAsia="仿宋" w:cs="仿宋"/>
                <w:sz w:val="28"/>
                <w:szCs w:val="28"/>
                <w:highlight w:val="none"/>
              </w:rPr>
              <w:t>措施：①加强宣传，保障育龄群众健康开展各种形式为主体宣传活动，针对目标人群，坚持宣传与服务相结合。②</w:t>
            </w:r>
            <w:r>
              <w:rPr>
                <w:rFonts w:hint="eastAsia" w:ascii="仿宋" w:hAnsi="仿宋" w:eastAsia="仿宋" w:cs="仿宋"/>
                <w:sz w:val="28"/>
                <w:szCs w:val="28"/>
                <w:highlight w:val="none"/>
                <w:lang w:val="en-US" w:eastAsia="zh-CN"/>
              </w:rPr>
              <w:t>定期对辖区各卫生行政管理部门及各医疗卫生机构进行督导考核，及时了解项目实施情况，并定期通报考核结果。</w:t>
            </w: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hint="eastAsia"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77933"/>
    <w:multiLevelType w:val="singleLevel"/>
    <w:tmpl w:val="29577933"/>
    <w:lvl w:ilvl="0" w:tentative="0">
      <w:start w:val="2"/>
      <w:numFmt w:val="decimal"/>
      <w:suff w:val="nothing"/>
      <w:lvlText w:val="%1、"/>
      <w:lvlJc w:val="left"/>
    </w:lvl>
  </w:abstractNum>
  <w:abstractNum w:abstractNumId="1">
    <w:nsid w:val="64E76239"/>
    <w:multiLevelType w:val="singleLevel"/>
    <w:tmpl w:val="64E76239"/>
    <w:lvl w:ilvl="0" w:tentative="0">
      <w:start w:val="4"/>
      <w:numFmt w:val="chineseCounting"/>
      <w:suff w:val="nothing"/>
      <w:lvlText w:val="（%1）"/>
      <w:lvlJc w:val="left"/>
      <w:rPr>
        <w:rFonts w:hint="eastAsia"/>
      </w:rPr>
    </w:lvl>
  </w:abstractNum>
  <w:abstractNum w:abstractNumId="2">
    <w:nsid w:val="74A9CA0C"/>
    <w:multiLevelType w:val="singleLevel"/>
    <w:tmpl w:val="74A9CA0C"/>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NzllYWE5NGUxZWQ2NzAxZDYwMzllMzU0Yzc2MjYifQ=="/>
  </w:docVars>
  <w:rsids>
    <w:rsidRoot w:val="76485DA4"/>
    <w:rsid w:val="0058366C"/>
    <w:rsid w:val="00AC2CFF"/>
    <w:rsid w:val="00C105E9"/>
    <w:rsid w:val="013028E2"/>
    <w:rsid w:val="01514167"/>
    <w:rsid w:val="02557772"/>
    <w:rsid w:val="04942A83"/>
    <w:rsid w:val="05273158"/>
    <w:rsid w:val="05FA0A04"/>
    <w:rsid w:val="06733B63"/>
    <w:rsid w:val="07B415AD"/>
    <w:rsid w:val="07B747DF"/>
    <w:rsid w:val="07E8155D"/>
    <w:rsid w:val="08A87E96"/>
    <w:rsid w:val="0A8A6C66"/>
    <w:rsid w:val="0AE66457"/>
    <w:rsid w:val="0B1C0D02"/>
    <w:rsid w:val="0B8A3546"/>
    <w:rsid w:val="0BCC27C8"/>
    <w:rsid w:val="0E56436E"/>
    <w:rsid w:val="0EFA402D"/>
    <w:rsid w:val="0FF37A90"/>
    <w:rsid w:val="114D2011"/>
    <w:rsid w:val="11912E45"/>
    <w:rsid w:val="156702BD"/>
    <w:rsid w:val="15717CC0"/>
    <w:rsid w:val="15724B5F"/>
    <w:rsid w:val="18C30888"/>
    <w:rsid w:val="18F2391D"/>
    <w:rsid w:val="19551137"/>
    <w:rsid w:val="1AC53DAC"/>
    <w:rsid w:val="1B9648AC"/>
    <w:rsid w:val="1DDE6341"/>
    <w:rsid w:val="1DE03704"/>
    <w:rsid w:val="1E50221E"/>
    <w:rsid w:val="1F150C66"/>
    <w:rsid w:val="208838DA"/>
    <w:rsid w:val="21410B08"/>
    <w:rsid w:val="217C6B87"/>
    <w:rsid w:val="217F0425"/>
    <w:rsid w:val="21B76CCA"/>
    <w:rsid w:val="22433200"/>
    <w:rsid w:val="225E1658"/>
    <w:rsid w:val="23B14A47"/>
    <w:rsid w:val="24C37A65"/>
    <w:rsid w:val="28B746A6"/>
    <w:rsid w:val="28D82599"/>
    <w:rsid w:val="2A4B12C6"/>
    <w:rsid w:val="2AB05D6C"/>
    <w:rsid w:val="2AB26878"/>
    <w:rsid w:val="2B2D5020"/>
    <w:rsid w:val="2C731156"/>
    <w:rsid w:val="2C9D57C8"/>
    <w:rsid w:val="2CC84335"/>
    <w:rsid w:val="2D320BDD"/>
    <w:rsid w:val="2D53331E"/>
    <w:rsid w:val="2DAD1E76"/>
    <w:rsid w:val="2EB3575E"/>
    <w:rsid w:val="2ED06375"/>
    <w:rsid w:val="32225FB7"/>
    <w:rsid w:val="33A31CF4"/>
    <w:rsid w:val="35462D5E"/>
    <w:rsid w:val="359A58C0"/>
    <w:rsid w:val="37586E3F"/>
    <w:rsid w:val="37B24384"/>
    <w:rsid w:val="38084878"/>
    <w:rsid w:val="384168F6"/>
    <w:rsid w:val="3A2059C0"/>
    <w:rsid w:val="3A520F44"/>
    <w:rsid w:val="3AA67F08"/>
    <w:rsid w:val="3B7A3CDF"/>
    <w:rsid w:val="3B853083"/>
    <w:rsid w:val="3C501C05"/>
    <w:rsid w:val="3CD75211"/>
    <w:rsid w:val="3D413873"/>
    <w:rsid w:val="3D74475E"/>
    <w:rsid w:val="3D857743"/>
    <w:rsid w:val="3D8E5820"/>
    <w:rsid w:val="3F9356A7"/>
    <w:rsid w:val="40A32482"/>
    <w:rsid w:val="410316E8"/>
    <w:rsid w:val="41043F2D"/>
    <w:rsid w:val="43545D0C"/>
    <w:rsid w:val="439D51AD"/>
    <w:rsid w:val="444412E6"/>
    <w:rsid w:val="44DF0DC4"/>
    <w:rsid w:val="496C4BFC"/>
    <w:rsid w:val="49D665EC"/>
    <w:rsid w:val="4AE66D40"/>
    <w:rsid w:val="4D4E28D6"/>
    <w:rsid w:val="4FE51157"/>
    <w:rsid w:val="505D47D6"/>
    <w:rsid w:val="50DB7E83"/>
    <w:rsid w:val="52132340"/>
    <w:rsid w:val="52AC2FA1"/>
    <w:rsid w:val="52CC5683"/>
    <w:rsid w:val="53E02D99"/>
    <w:rsid w:val="58AF7B6C"/>
    <w:rsid w:val="5ECD7D7A"/>
    <w:rsid w:val="5F090D52"/>
    <w:rsid w:val="5FA37F8C"/>
    <w:rsid w:val="6089361C"/>
    <w:rsid w:val="626C0689"/>
    <w:rsid w:val="62D34722"/>
    <w:rsid w:val="64D42C5C"/>
    <w:rsid w:val="65410787"/>
    <w:rsid w:val="656812B8"/>
    <w:rsid w:val="67DC5495"/>
    <w:rsid w:val="688E5D90"/>
    <w:rsid w:val="6A72443E"/>
    <w:rsid w:val="6BBB581E"/>
    <w:rsid w:val="6C515AE7"/>
    <w:rsid w:val="6F511EED"/>
    <w:rsid w:val="6F716558"/>
    <w:rsid w:val="700211FC"/>
    <w:rsid w:val="717126F3"/>
    <w:rsid w:val="71B220E1"/>
    <w:rsid w:val="71C0616A"/>
    <w:rsid w:val="74142A4D"/>
    <w:rsid w:val="74691045"/>
    <w:rsid w:val="750C2DB4"/>
    <w:rsid w:val="75CF41ED"/>
    <w:rsid w:val="76485DA4"/>
    <w:rsid w:val="78FA3618"/>
    <w:rsid w:val="7A1359CE"/>
    <w:rsid w:val="7AA30DA2"/>
    <w:rsid w:val="7AC855EE"/>
    <w:rsid w:val="7B704D9E"/>
    <w:rsid w:val="7BBA0225"/>
    <w:rsid w:val="7E4939A8"/>
    <w:rsid w:val="7F771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276" w:lineRule="auto"/>
      <w:jc w:val="center"/>
      <w:outlineLvl w:val="0"/>
    </w:pPr>
    <w:rPr>
      <w:rFonts w:ascii="Cambria" w:hAnsi="Cambria"/>
      <w:b/>
      <w:bCs/>
      <w:sz w:val="32"/>
      <w:szCs w:val="32"/>
      <w:lang w:eastAsia="en-US"/>
    </w:rPr>
  </w:style>
  <w:style w:type="paragraph" w:styleId="3">
    <w:name w:val="Normal (Web)"/>
    <w:basedOn w:val="1"/>
    <w:qFormat/>
    <w:uiPriority w:val="0"/>
    <w:rPr>
      <w:sz w:val="24"/>
    </w:rPr>
  </w:style>
  <w:style w:type="character" w:customStyle="1" w:styleId="6">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10164</Words>
  <Characters>11210</Characters>
  <Lines>0</Lines>
  <Paragraphs>0</Paragraphs>
  <TotalTime>4</TotalTime>
  <ScaleCrop>false</ScaleCrop>
  <LinksUpToDate>false</LinksUpToDate>
  <CharactersWithSpaces>11366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2021-05-19T09:05:00Z</dcterms:created>
  <dc:creator>一半</dc:creator>
  <cp:lastModifiedBy>Administrator</cp:lastModifiedBy>
  <cp:lastPrinted>2021-05-26T06:51:00Z</cp:lastPrinted>
  <dcterms:modified xsi:type="dcterms:W3CDTF">2022-05-24T07:55:31Z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AA7558D8514B4814964F9A5F0E5D8E88</vt:lpwstr>
  </property>
</Properties>
</file>