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361" w:firstLineChars="100"/>
        <w:jc w:val="both"/>
        <w:rPr>
          <w:rFonts w:hint="eastAsia" w:ascii="宋体" w:hAnsi="宋体" w:eastAsia="宋体" w:cs="宋体"/>
          <w:b/>
          <w:sz w:val="30"/>
          <w:szCs w:val="30"/>
          <w:lang w:val="zh-CN"/>
        </w:rPr>
      </w:pPr>
      <w:r>
        <w:rPr>
          <w:rFonts w:hint="eastAsia" w:ascii="宋体" w:hAnsi="宋体" w:cs="宋体"/>
          <w:b/>
          <w:sz w:val="36"/>
          <w:szCs w:val="36"/>
        </w:rPr>
        <w:t>项目名称：</w:t>
      </w:r>
      <w:r>
        <w:rPr>
          <w:rFonts w:hint="eastAsia" w:ascii="宋体" w:hAnsi="宋体" w:cs="宋体"/>
          <w:b/>
          <w:sz w:val="30"/>
          <w:szCs w:val="30"/>
          <w:lang w:eastAsia="zh-CN"/>
        </w:rPr>
        <w:t>口腔综合治疗仪及经腋窝甲状腺腔镜拉钩</w:t>
      </w:r>
      <w:r>
        <w:rPr>
          <w:rFonts w:hint="eastAsia" w:ascii="宋体" w:hAnsi="宋体" w:eastAsia="宋体" w:cs="宋体"/>
          <w:b/>
          <w:sz w:val="30"/>
          <w:szCs w:val="30"/>
          <w:lang w:eastAsia="zh-CN"/>
        </w:rPr>
        <w:t>采购项目</w:t>
      </w:r>
    </w:p>
    <w:p>
      <w:pPr>
        <w:spacing w:line="480" w:lineRule="auto"/>
        <w:ind w:firstLine="361" w:firstLineChars="1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九</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30"/>
      <w:bookmarkStart w:id="1" w:name="_Toc528493563"/>
      <w:bookmarkStart w:id="2" w:name="_Toc528493163"/>
      <w:bookmarkStart w:id="3" w:name="_Toc528494262"/>
      <w:bookmarkStart w:id="4" w:name="_Toc52849308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03"/>
      <w:bookmarkStart w:id="7" w:name="_Toc35393791"/>
      <w:bookmarkStart w:id="8" w:name="_Toc28359080"/>
    </w:p>
    <w:p>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根据黄石市妇幼保健院的需求，就口腔综合治疗仪及经腋窝甲状腺腔镜拉钩采购项目以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ind w:firstLine="482" w:firstLineChars="200"/>
              <w:rPr>
                <w:rFonts w:hint="eastAsia" w:ascii="宋体" w:hAnsi="宋体" w:cs="宋体"/>
                <w:b/>
                <w:bCs/>
                <w:color w:val="000000"/>
                <w:sz w:val="24"/>
                <w:vertAlign w:val="baseline"/>
                <w:lang w:eastAsia="zh-CN"/>
              </w:rPr>
            </w:pPr>
            <w:bookmarkStart w:id="9" w:name="_Toc35393792"/>
            <w:bookmarkStart w:id="10" w:name="_Toc35393623"/>
            <w:bookmarkStart w:id="11" w:name="_Toc28359004"/>
            <w:bookmarkStart w:id="12" w:name="_Toc28359081"/>
            <w:r>
              <w:rPr>
                <w:rFonts w:hint="eastAsia" w:ascii="宋体" w:hAnsi="宋体" w:cs="宋体"/>
                <w:b/>
                <w:bCs/>
                <w:color w:val="000000"/>
                <w:sz w:val="24"/>
                <w:vertAlign w:val="baseline"/>
                <w:lang w:eastAsia="zh-CN"/>
              </w:rPr>
              <w:t>包号</w:t>
            </w:r>
          </w:p>
        </w:tc>
        <w:tc>
          <w:tcPr>
            <w:tcW w:w="3615" w:type="dxa"/>
          </w:tcPr>
          <w:p>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725"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口腔综合治疗仪</w:t>
            </w:r>
          </w:p>
        </w:tc>
        <w:tc>
          <w:tcPr>
            <w:tcW w:w="1350" w:type="dxa"/>
          </w:tcPr>
          <w:p>
            <w:pPr>
              <w:spacing w:line="420" w:lineRule="exact"/>
              <w:ind w:firstLine="241" w:firstLineChars="1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1台套</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经腋窝甲状腺腔镜拉钩采购项目</w:t>
            </w:r>
          </w:p>
        </w:tc>
        <w:tc>
          <w:tcPr>
            <w:tcW w:w="1350" w:type="dxa"/>
          </w:tcPr>
          <w:p>
            <w:pPr>
              <w:spacing w:line="420" w:lineRule="exact"/>
              <w:ind w:firstLine="241" w:firstLineChars="1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1台套</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5万元</w:t>
            </w:r>
          </w:p>
        </w:tc>
      </w:tr>
    </w:tbl>
    <w:p>
      <w:pPr>
        <w:spacing w:line="420" w:lineRule="exact"/>
        <w:rPr>
          <w:rFonts w:hint="eastAsia" w:ascii="宋体" w:hAnsi="宋体" w:cs="宋体"/>
          <w:b/>
          <w:bCs/>
          <w:color w:val="000000"/>
          <w:sz w:val="24"/>
          <w:lang w:eastAsia="zh-CN"/>
        </w:rPr>
      </w:pP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2.投标人为生产企业的需提供医疗器械生产许可证；投标人为代理商的需提供医疗器械经营许可证或备案证；所投产品需提供医疗器械产品注册证或备案证及提供制造商的授权书；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pPr>
        <w:spacing w:line="420" w:lineRule="exact"/>
        <w:rPr>
          <w:rFonts w:ascii="宋体" w:cs="宋体"/>
          <w:b/>
          <w:bCs/>
          <w:sz w:val="24"/>
        </w:rPr>
      </w:pPr>
      <w:bookmarkStart w:id="13" w:name="_Toc28359007"/>
      <w:bookmarkStart w:id="14" w:name="_Toc28359084"/>
      <w:bookmarkStart w:id="15" w:name="_Toc35393625"/>
      <w:bookmarkStart w:id="16" w:name="_Toc35393794"/>
      <w:bookmarkStart w:id="17" w:name="_Toc528493131"/>
      <w:bookmarkStart w:id="18" w:name="_Toc528493164"/>
      <w:bookmarkStart w:id="19" w:name="_Toc528493083"/>
      <w:bookmarkStart w:id="20" w:name="_Toc528493576"/>
      <w:bookmarkStart w:id="21"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报名时间：2023年9月20日-2023年9月26日（上午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2、递交标书及开标时间：2023年9月27日下午15:00；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3、招标地点：黄石市妇幼保健院行政楼203会议室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地址：黄石市团城山桂林南路9号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numPr>
          <w:ilvl w:val="0"/>
          <w:numId w:val="0"/>
        </w:numPr>
        <w:ind w:firstLine="5520" w:firstLineChars="23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9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20</w:t>
      </w:r>
      <w:r>
        <w:rPr>
          <w:rFonts w:hint="eastAsia" w:ascii="宋体" w:hAnsi="宋体" w:eastAsia="宋体" w:cs="宋体"/>
          <w:color w:val="000000"/>
          <w:sz w:val="24"/>
          <w:lang w:val="en-US" w:eastAsia="zh-CN"/>
        </w:rPr>
        <w:t>日</w:t>
      </w:r>
      <w:bookmarkEnd w:id="13"/>
      <w:bookmarkEnd w:id="14"/>
      <w:bookmarkEnd w:id="15"/>
      <w:bookmarkEnd w:id="16"/>
    </w:p>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4"/>
        <w:rPr>
          <w:rFonts w:hint="eastAsia" w:ascii="宋体" w:hAnsi="宋体" w:cs="宋体"/>
        </w:rPr>
      </w:pPr>
    </w:p>
    <w:p>
      <w:pPr>
        <w:rPr>
          <w:rFonts w:hint="eastAsia" w:ascii="宋体" w:hAnsi="宋体" w:cs="宋体"/>
        </w:rPr>
      </w:pPr>
    </w:p>
    <w:p>
      <w:pPr>
        <w:pStyle w:val="4"/>
        <w:rPr>
          <w:rFonts w:hint="eastAsia"/>
        </w:rPr>
      </w:pPr>
    </w:p>
    <w:p>
      <w:pPr>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5" w:name="_Toc528493577"/>
      <w:bookmarkStart w:id="26" w:name="_Toc528493165"/>
      <w:bookmarkStart w:id="27" w:name="_Toc528493084"/>
      <w:bookmarkStart w:id="28" w:name="_Toc528494280"/>
      <w:bookmarkStart w:id="29" w:name="_Toc528493132"/>
      <w:r>
        <w:rPr>
          <w:rStyle w:val="19"/>
          <w:rFonts w:hint="eastAsia" w:ascii="宋体" w:hAnsi="宋体" w:cs="宋体"/>
          <w:sz w:val="24"/>
          <w:szCs w:val="24"/>
        </w:rPr>
        <w:t>2．磋商报价要求</w:t>
      </w:r>
      <w:bookmarkEnd w:id="25"/>
      <w:bookmarkEnd w:id="26"/>
      <w:bookmarkEnd w:id="27"/>
      <w:bookmarkEnd w:id="28"/>
      <w:bookmarkEnd w:id="29"/>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4"/>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w:t>
            </w:r>
            <w:r>
              <w:rPr>
                <w:rFonts w:hint="eastAsia" w:ascii="宋体" w:hAnsi="宋体" w:cs="宋体"/>
                <w:color w:val="000000"/>
                <w:sz w:val="24"/>
                <w:lang w:eastAsia="zh-CN"/>
              </w:rPr>
              <w:t>及</w:t>
            </w:r>
            <w:r>
              <w:rPr>
                <w:rFonts w:hint="eastAsia" w:ascii="宋体" w:hAnsi="宋体" w:cs="宋体"/>
                <w:color w:val="000000"/>
                <w:sz w:val="24"/>
              </w:rPr>
              <w:t>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4"/>
        <w:rPr>
          <w:rFonts w:hint="eastAsia" w:ascii="宋体" w:hAnsi="宋体" w:cs="宋体"/>
          <w:bCs/>
          <w:sz w:val="24"/>
        </w:rPr>
      </w:pPr>
    </w:p>
    <w:p/>
    <w:p>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4"/>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2" w:name="_Toc528493086"/>
            <w:bookmarkStart w:id="33" w:name="_Toc528493167"/>
            <w:bookmarkStart w:id="34" w:name="_Toc528493579"/>
            <w:bookmarkStart w:id="35" w:name="_Toc528493134"/>
            <w:bookmarkStart w:id="36"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1111"/>
        <w:gridCol w:w="2875"/>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bookmarkStart w:id="37" w:name="_Toc528493169"/>
            <w:bookmarkStart w:id="38" w:name="_Toc528493581"/>
            <w:bookmarkStart w:id="39" w:name="_Toc528493136"/>
            <w:bookmarkStart w:id="40" w:name="_Toc528493088"/>
            <w:bookmarkStart w:id="41" w:name="_Toc23718"/>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default" w:ascii="宋体" w:hAnsi="宋体" w:eastAsia="宋体" w:cs="宋体"/>
                <w:b/>
                <w:bCs/>
                <w:sz w:val="20"/>
                <w:szCs w:val="20"/>
                <w:lang w:val="en-US" w:eastAsia="zh-CN"/>
              </w:rPr>
              <w:t>口腔综合治疗仪</w:t>
            </w:r>
            <w:r>
              <w:rPr>
                <w:rFonts w:hint="eastAsia" w:ascii="宋体" w:hAnsi="宋体" w:cs="宋体"/>
                <w:b/>
                <w:bCs/>
                <w:sz w:val="20"/>
                <w:szCs w:val="20"/>
                <w:lang w:val="en-US" w:eastAsia="zh-CN"/>
              </w:rPr>
              <w:t>（包一）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1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287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整机外观符合人体工程学技术，满足医务工作者临床操作方便的需求，为患者提供坐躺舒适的座椅</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全电脑控制操作系统，集成电脑板，主、副、脚三控均采用USB接口连接，电脑控制面板具有特殊位置的三个记忆功能：具有一键复位和吐痰位</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主箱体采用注塑工艺制作，可做到防腐防锈不褪色，二折式助手架便于四手操作和设备维护</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器械臂使用气锁固定，操作方便，按下气锁开关即可调节工作盘高低</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内置式低压LED观片灯，光照均匀明亮</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电磁阀控制：强弱吸引器、吸唾器，铝合金手柄，可任意调节吸力大小，强弱吸连通管实现快插接口，带有清洗过滤网装置，方便拆卸</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圆形气控脚踏开关，可控制高低速手机工作，实现高速手机干、湿转换及吹屑功能；</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采用自动增压与恒压，手机三用枪独立供水，可灵活选择自来水或纯净水，也满足管路消毒需要。</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lang w:eastAsia="zh-CN"/>
              </w:rPr>
            </w:pPr>
            <w:r>
              <w:rPr>
                <w:rFonts w:hint="eastAsia" w:ascii="宋体" w:hAnsi="宋体" w:eastAsia="宋体" w:cs="宋体"/>
                <w:i w:val="0"/>
                <w:color w:val="000000"/>
                <w:kern w:val="0"/>
                <w:sz w:val="18"/>
                <w:szCs w:val="18"/>
                <w:u w:val="none"/>
                <w:lang w:val="en-US" w:eastAsia="zh-CN" w:bidi="ar"/>
              </w:rPr>
              <w:t>9、当脚踏被踩下时病人椅锁定，治疗过程更平稳安全。当病人椅下降受物阻挡时，病人椅会自动升起，为医生和患者提供安全保障。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4"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口腔LED灯采用LED反射式光源，通过蓝光截止功能可实现黄白双色光源切换，可感应可按键，并且灯两侧都具有物理按键进行各功能调节，方便操作双色LED冷光灯，感应控制，可任意调节色温及照明亮度，防树脂固。口腔灯并具有一类备案。  </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器械盘主、副均有电脑操控模式。具有座椅上下、靠背仰卧、自动复位、吐痰位、特殊记忆等15项功能；下挂式连体器械盘设计，和病人椅同升降，锁定后可承重达3KG。手机及洁牙机挂架可90°旋转，每个手机可独立调节气压、水量及雾化大小。同时具备手机废油收集及消音。</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下挂式手机操作系统,手机挂架可左右旋转90 °，挂架可上下旋转，方便医生操作。 </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病人座椅动力系统采用直流静音电机，上电机为3500N快速电机，下电机为8000N，机椅互锁装置，并设有安全保护装置，头枕可任意调节和锁定适合小孩、残疾人和成人，金属靠背，皮垫采用无缝PU皮，耐磨耐压不易变色，牙科椅为双扶手设计，底板尾部可单独操控座椅升降及靠背仰卧。</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痰盂电磁阀控制冲盂、漱口水，可设定给水时间，漱口水配有可自动加热恒温系统，整体式陶瓷痰盂可随意拆卸，90度旋转，内侧及边缘光滑，易于清洁消毒，下水流畅。</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医生座椅可升降，最低椅位430mm，行程120mm。</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电源电压：a.c.220V-230V/50Hz。</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输入功率：600VA。</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水压水压：0.2-0.4Mpa/2.0-4.0bar。</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Arial" w:hAnsi="Arial" w:eastAsia="Arial" w:cs="Arial"/>
                <w:snapToGrid w:val="0"/>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10、气源气压：0.55-0.8Mpa/5.5-8.0bar。</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Arial" w:hAnsi="Arial" w:eastAsia="Arial" w:cs="Arial"/>
                <w:snapToGrid w:val="0"/>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11、设备使用寿命：≥12年。</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360" w:firstLineChars="200"/>
              <w:jc w:val="left"/>
              <w:textAlignment w:val="center"/>
              <w:rPr>
                <w:rFonts w:hint="eastAsia" w:ascii="Arial" w:hAnsi="Arial" w:eastAsia="Arial" w:cs="Arial"/>
                <w:snapToGrid w:val="0"/>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12、配套耗材及配件：口腔LED灯1台；下挂工具盘1个；进口医用水气管1套；冲痰漱口定量给水系统1套；强、弱吸唾装置1套；三用喷枪2个；多角度调节式头枕1个；LED观片灯1个；内置式地厢1个；外置式储水罐1个；固定支架装置1个（平板电脑/手机固定支架）；医生牙椅2台；三用喷枪（冷/热）：2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338" w:firstLineChars="0"/>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售后，牙椅保修3年，配件保修1年，现场安装及相关技术操作培训。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1、具有一键管消毒功能，可以对手机管路和三用枪管路实现一键反冲洗消毒功能。全方位保障诊疗用水安全。</w:t>
            </w:r>
          </w:p>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2、副控具有5位挂架装置，有灯开关、预置键、漱口位键、有升降 仰卧，加热，复位键等，漱口水、副控三用枪具有加热系统，35-45度可按键选择，有数显，具有防干烧功能  。</w:t>
            </w:r>
          </w:p>
          <w:p>
            <w:pPr>
              <w:keepNext w:val="0"/>
              <w:keepLines w:val="0"/>
              <w:pageBreakBefore w:val="0"/>
              <w:widowControl/>
              <w:kinsoku w:val="0"/>
              <w:wordWrap/>
              <w:overflowPunct/>
              <w:topLinePunct w:val="0"/>
              <w:autoSpaceDE w:val="0"/>
              <w:autoSpaceDN w:val="0"/>
              <w:bidi w:val="0"/>
              <w:adjustRightInd w:val="0"/>
              <w:snapToGrid w:val="0"/>
              <w:spacing w:line="240" w:lineRule="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3、整体式陶瓷痰盂可内旋转90度，方便患者吐痰。</w:t>
            </w:r>
          </w:p>
        </w:tc>
      </w:tr>
    </w:tbl>
    <w:p>
      <w:pPr>
        <w:pStyle w:val="13"/>
        <w:jc w:val="both"/>
        <w:rPr>
          <w:rFonts w:hint="eastAsia" w:ascii="宋体" w:hAnsi="宋体" w:cs="宋体"/>
          <w:color w:val="auto"/>
          <w:highlight w:val="none"/>
        </w:rPr>
      </w:pPr>
    </w:p>
    <w:p>
      <w:pPr>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经腋窝甲状腺腔镜拉钩</w:t>
            </w:r>
            <w:r>
              <w:rPr>
                <w:rFonts w:hint="eastAsia" w:ascii="宋体" w:hAnsi="宋体" w:cs="宋体"/>
                <w:snapToGrid w:val="0"/>
                <w:color w:val="000000"/>
                <w:kern w:val="0"/>
                <w:sz w:val="20"/>
                <w:szCs w:val="20"/>
                <w:lang w:val="en-US" w:eastAsia="zh-CN"/>
              </w:rPr>
              <w:t>（包二）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1套</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1、适</w:t>
            </w:r>
            <w:r>
              <w:rPr>
                <w:rFonts w:hint="eastAsia" w:ascii="宋体" w:hAnsi="宋体" w:eastAsia="宋体" w:cs="宋体"/>
                <w:kern w:val="0"/>
                <w:sz w:val="22"/>
                <w:szCs w:val="20"/>
                <w:lang w:eastAsia="zh-CN"/>
              </w:rPr>
              <w:t>用于甲状腺手术时使用</w:t>
            </w:r>
            <w:r>
              <w:rPr>
                <w:rFonts w:hint="eastAsia" w:ascii="宋体" w:hAnsi="宋体" w:cs="宋体"/>
                <w:kern w:val="0"/>
                <w:sz w:val="22"/>
                <w:szCs w:val="20"/>
                <w:lang w:eastAsia="zh-CN"/>
              </w:rPr>
              <w:t>。</w:t>
            </w:r>
          </w:p>
          <w:p>
            <w:pPr>
              <w:adjustRightInd w:val="0"/>
              <w:snapToGrid w:val="0"/>
              <w:spacing w:line="360" w:lineRule="auto"/>
              <w:ind w:firstLine="440" w:firstLineChars="200"/>
              <w:rPr>
                <w:rFonts w:hint="eastAsia"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甲状腺手术器械包</w:t>
            </w:r>
            <w:r>
              <w:rPr>
                <w:rFonts w:hint="eastAsia" w:ascii="宋体" w:hAnsi="宋体" w:cs="宋体"/>
                <w:sz w:val="22"/>
                <w:szCs w:val="22"/>
              </w:rPr>
              <w:t>由甲状腺拉钩</w:t>
            </w:r>
            <w:r>
              <w:rPr>
                <w:rFonts w:hint="eastAsia" w:ascii="宋体" w:hAnsi="宋体" w:cs="宋体"/>
                <w:sz w:val="22"/>
                <w:szCs w:val="22"/>
                <w:lang w:eastAsia="zh-CN"/>
              </w:rPr>
              <w:t>和</w:t>
            </w:r>
            <w:r>
              <w:rPr>
                <w:rFonts w:hint="eastAsia" w:ascii="宋体" w:hAnsi="宋体" w:cs="宋体"/>
                <w:sz w:val="22"/>
                <w:szCs w:val="22"/>
              </w:rPr>
              <w:t>甲状腺</w:t>
            </w:r>
            <w:r>
              <w:rPr>
                <w:rFonts w:hint="eastAsia" w:ascii="宋体" w:hAnsi="宋体" w:cs="宋体"/>
                <w:sz w:val="22"/>
                <w:szCs w:val="22"/>
                <w:lang w:eastAsia="zh-CN"/>
              </w:rPr>
              <w:t>牵开器组成。</w:t>
            </w:r>
          </w:p>
          <w:p>
            <w:pPr>
              <w:adjustRightInd w:val="0"/>
              <w:snapToGrid w:val="0"/>
              <w:spacing w:line="360" w:lineRule="auto"/>
              <w:ind w:firstLine="440" w:firstLineChars="200"/>
              <w:rPr>
                <w:rFonts w:hint="default" w:ascii="宋体" w:hAnsi="宋体" w:cs="宋体"/>
                <w:sz w:val="22"/>
                <w:szCs w:val="22"/>
                <w:lang w:val="en-US" w:eastAsia="zh-CN"/>
              </w:rPr>
            </w:pPr>
            <w:r>
              <w:rPr>
                <w:rFonts w:hint="eastAsia" w:ascii="宋体" w:hAnsi="宋体" w:cs="宋体"/>
                <w:sz w:val="22"/>
                <w:szCs w:val="22"/>
                <w:lang w:val="en-US" w:eastAsia="zh-CN"/>
              </w:rPr>
              <w:t>3、</w:t>
            </w:r>
            <w:r>
              <w:rPr>
                <w:rFonts w:hint="eastAsia" w:ascii="宋体" w:hAnsi="宋体" w:eastAsia="宋体" w:cs="宋体"/>
                <w:snapToGrid w:val="0"/>
                <w:color w:val="000000"/>
                <w:kern w:val="0"/>
                <w:sz w:val="20"/>
                <w:szCs w:val="20"/>
                <w:lang w:val="en-US" w:eastAsia="zh-CN"/>
              </w:rPr>
              <w:t>经腋窝甲状腺腔镜拉钩为组织拉钩</w:t>
            </w:r>
            <w:r>
              <w:rPr>
                <w:rFonts w:hint="eastAsia" w:ascii="宋体" w:hAnsi="宋体" w:cs="宋体"/>
                <w:snapToGrid w:val="0"/>
                <w:color w:val="000000"/>
                <w:kern w:val="0"/>
                <w:sz w:val="20"/>
                <w:szCs w:val="2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8"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numPr>
                <w:ilvl w:val="0"/>
                <w:numId w:val="0"/>
              </w:num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1、</w:t>
            </w:r>
            <w:r>
              <w:rPr>
                <w:rFonts w:hint="eastAsia" w:ascii="宋体" w:hAnsi="宋体" w:eastAsia="宋体" w:cs="宋体"/>
                <w:kern w:val="0"/>
                <w:sz w:val="22"/>
                <w:szCs w:val="20"/>
                <w:lang w:eastAsia="zh-CN"/>
              </w:rPr>
              <w:t>Ⅰ型甲状腺牵开器、</w:t>
            </w:r>
            <w:r>
              <w:rPr>
                <w:rFonts w:hint="eastAsia" w:ascii="宋体" w:hAnsi="宋体" w:eastAsia="宋体" w:cs="宋体"/>
                <w:kern w:val="0"/>
                <w:sz w:val="22"/>
                <w:szCs w:val="20"/>
                <w:lang w:val="en-US" w:eastAsia="zh-CN"/>
              </w:rPr>
              <w:t>II</w:t>
            </w:r>
            <w:r>
              <w:rPr>
                <w:rFonts w:hint="eastAsia" w:ascii="宋体" w:hAnsi="宋体" w:eastAsia="宋体" w:cs="宋体"/>
                <w:kern w:val="0"/>
                <w:sz w:val="22"/>
                <w:szCs w:val="20"/>
                <w:lang w:eastAsia="zh-CN"/>
              </w:rPr>
              <w:t>型甲状腺牵开器、</w:t>
            </w:r>
            <w:r>
              <w:rPr>
                <w:rFonts w:hint="eastAsia" w:ascii="宋体" w:hAnsi="宋体" w:eastAsia="宋体" w:cs="宋体"/>
                <w:kern w:val="0"/>
                <w:sz w:val="22"/>
                <w:szCs w:val="20"/>
                <w:lang w:val="en-US" w:eastAsia="zh-CN"/>
              </w:rPr>
              <w:t>III</w:t>
            </w:r>
            <w:r>
              <w:rPr>
                <w:rFonts w:hint="eastAsia" w:ascii="宋体" w:hAnsi="宋体" w:eastAsia="宋体" w:cs="宋体"/>
                <w:kern w:val="0"/>
                <w:sz w:val="22"/>
                <w:szCs w:val="20"/>
                <w:lang w:eastAsia="zh-CN"/>
              </w:rPr>
              <w:t>型甲状腺牵开器、Ⅲ型甲状腺拉钩、</w:t>
            </w:r>
            <w:r>
              <w:rPr>
                <w:rFonts w:hint="eastAsia" w:ascii="宋体" w:hAnsi="宋体" w:eastAsia="宋体" w:cs="宋体"/>
                <w:kern w:val="0"/>
                <w:sz w:val="22"/>
                <w:szCs w:val="20"/>
                <w:lang w:val="en-US" w:eastAsia="zh-CN"/>
              </w:rPr>
              <w:t>IV</w:t>
            </w:r>
            <w:r>
              <w:rPr>
                <w:rFonts w:hint="eastAsia" w:ascii="宋体" w:hAnsi="宋体" w:eastAsia="宋体" w:cs="宋体"/>
                <w:kern w:val="0"/>
                <w:sz w:val="22"/>
                <w:szCs w:val="20"/>
                <w:lang w:eastAsia="zh-CN"/>
              </w:rPr>
              <w:t>型甲状腺拉钩、</w:t>
            </w:r>
            <w:r>
              <w:rPr>
                <w:rFonts w:hint="eastAsia" w:ascii="宋体" w:hAnsi="宋体" w:eastAsia="宋体" w:cs="宋体"/>
                <w:kern w:val="0"/>
                <w:sz w:val="22"/>
                <w:szCs w:val="20"/>
                <w:lang w:val="en-US" w:eastAsia="zh-CN"/>
              </w:rPr>
              <w:t>V</w:t>
            </w:r>
            <w:r>
              <w:rPr>
                <w:rFonts w:hint="eastAsia" w:ascii="宋体" w:hAnsi="宋体" w:eastAsia="宋体" w:cs="宋体"/>
                <w:kern w:val="0"/>
                <w:sz w:val="22"/>
                <w:szCs w:val="20"/>
                <w:lang w:eastAsia="zh-CN"/>
              </w:rPr>
              <w:t>型甲状腺拉钩、</w:t>
            </w:r>
            <w:r>
              <w:rPr>
                <w:rFonts w:hint="eastAsia" w:ascii="宋体" w:hAnsi="宋体" w:eastAsia="宋体" w:cs="宋体"/>
                <w:kern w:val="0"/>
                <w:sz w:val="22"/>
                <w:szCs w:val="20"/>
                <w:lang w:val="en-US" w:eastAsia="zh-CN"/>
              </w:rPr>
              <w:t>VI</w:t>
            </w:r>
            <w:r>
              <w:rPr>
                <w:rFonts w:hint="eastAsia" w:ascii="宋体" w:hAnsi="宋体" w:eastAsia="宋体" w:cs="宋体"/>
                <w:kern w:val="0"/>
                <w:sz w:val="22"/>
                <w:szCs w:val="20"/>
                <w:lang w:eastAsia="zh-CN"/>
              </w:rPr>
              <w:t>型甲状腺拉钩进入人体的部件均采用符合YY/T 0294.1-2016标准中的M号钢材料制造。Ⅰ型甲状腺拉钩、Ⅱ型甲状腺拉钩进入人体的部件采用符合YY/T 0294.1-2016标准的</w:t>
            </w:r>
            <w:r>
              <w:rPr>
                <w:rFonts w:hint="eastAsia" w:ascii="宋体" w:hAnsi="宋体" w:eastAsia="宋体" w:cs="宋体"/>
                <w:kern w:val="0"/>
                <w:sz w:val="22"/>
                <w:szCs w:val="20"/>
                <w:lang w:val="en-US" w:eastAsia="zh-CN"/>
              </w:rPr>
              <w:t>05Cr17Ni4Cu4Nb</w:t>
            </w:r>
            <w:r>
              <w:rPr>
                <w:rFonts w:hint="eastAsia" w:ascii="宋体" w:hAnsi="宋体" w:eastAsia="宋体" w:cs="宋体"/>
                <w:kern w:val="0"/>
                <w:sz w:val="22"/>
                <w:szCs w:val="20"/>
                <w:lang w:eastAsia="zh-CN"/>
              </w:rPr>
              <w:t>钢制造。</w:t>
            </w:r>
          </w:p>
          <w:p>
            <w:pPr>
              <w:numPr>
                <w:ilvl w:val="0"/>
                <w:numId w:val="0"/>
              </w:num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2、</w:t>
            </w:r>
            <w:r>
              <w:rPr>
                <w:rFonts w:hint="eastAsia" w:ascii="宋体" w:hAnsi="宋体" w:eastAsia="宋体" w:cs="宋体"/>
                <w:kern w:val="0"/>
                <w:sz w:val="22"/>
                <w:szCs w:val="20"/>
                <w:lang w:eastAsia="zh-CN"/>
              </w:rPr>
              <w:t>Ⅰ型甲状腺牵开器经固定后应有一定的刚性，在承受50N的重力情况下，其垂直位移不大于1cm。</w:t>
            </w:r>
          </w:p>
          <w:p>
            <w:p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3、I、II、III型</w:t>
            </w:r>
            <w:r>
              <w:rPr>
                <w:rFonts w:hint="eastAsia" w:ascii="宋体" w:hAnsi="宋体" w:eastAsia="宋体" w:cs="宋体"/>
                <w:kern w:val="0"/>
                <w:sz w:val="22"/>
                <w:szCs w:val="20"/>
                <w:lang w:eastAsia="zh-CN"/>
              </w:rPr>
              <w:t>甲状腺拉钩应具有不小于50N的弹性拉力；</w:t>
            </w:r>
            <w:r>
              <w:rPr>
                <w:rFonts w:hint="eastAsia" w:ascii="宋体" w:hAnsi="宋体" w:eastAsia="宋体" w:cs="宋体"/>
                <w:kern w:val="0"/>
                <w:sz w:val="22"/>
                <w:szCs w:val="20"/>
                <w:lang w:val="en-US" w:eastAsia="zh-CN"/>
              </w:rPr>
              <w:t>IV、V、VI型甲状腺拉钩应具有不小于20N的弹性拉力</w:t>
            </w:r>
            <w:r>
              <w:rPr>
                <w:rFonts w:hint="eastAsia" w:ascii="宋体" w:hAnsi="宋体" w:eastAsia="宋体" w:cs="宋体"/>
                <w:kern w:val="0"/>
                <w:sz w:val="22"/>
                <w:szCs w:val="20"/>
                <w:lang w:eastAsia="zh-CN"/>
              </w:rPr>
              <w:t>。</w:t>
            </w:r>
          </w:p>
          <w:p>
            <w:p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4、</w:t>
            </w:r>
            <w:r>
              <w:rPr>
                <w:rFonts w:hint="eastAsia" w:ascii="宋体" w:hAnsi="宋体" w:eastAsia="宋体" w:cs="宋体"/>
                <w:kern w:val="0"/>
                <w:sz w:val="22"/>
                <w:szCs w:val="20"/>
                <w:lang w:eastAsia="zh-CN"/>
              </w:rPr>
              <w:t>拉钩各部件连接牢固，应能承受不小于10N的拉力。</w:t>
            </w:r>
          </w:p>
          <w:p>
            <w:p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5、</w:t>
            </w:r>
            <w:r>
              <w:rPr>
                <w:rFonts w:hint="eastAsia" w:ascii="宋体" w:hAnsi="宋体" w:eastAsia="宋体" w:cs="宋体"/>
                <w:kern w:val="0"/>
                <w:sz w:val="22"/>
                <w:szCs w:val="20"/>
                <w:lang w:eastAsia="zh-CN"/>
              </w:rPr>
              <w:t>器械应有良好的耐腐蚀性能，应符合YY/T0149-2006中5.4b级的规定。</w:t>
            </w:r>
          </w:p>
          <w:p>
            <w:pPr>
              <w:adjustRightInd w:val="0"/>
              <w:snapToGrid w:val="0"/>
              <w:spacing w:line="360" w:lineRule="auto"/>
              <w:ind w:firstLine="440" w:firstLineChars="200"/>
              <w:rPr>
                <w:rFonts w:hint="eastAsia" w:ascii="宋体" w:hAnsi="宋体" w:eastAsia="宋体" w:cs="宋体"/>
                <w:kern w:val="0"/>
                <w:sz w:val="22"/>
                <w:szCs w:val="20"/>
                <w:lang w:eastAsia="zh-CN"/>
              </w:rPr>
            </w:pPr>
            <w:r>
              <w:rPr>
                <w:rFonts w:hint="eastAsia" w:ascii="宋体" w:hAnsi="宋体" w:eastAsia="宋体" w:cs="宋体"/>
                <w:kern w:val="0"/>
                <w:sz w:val="22"/>
                <w:szCs w:val="20"/>
                <w:lang w:val="en-US" w:eastAsia="zh-CN"/>
              </w:rPr>
              <w:t>6、</w:t>
            </w:r>
            <w:r>
              <w:rPr>
                <w:rFonts w:hint="eastAsia" w:ascii="宋体" w:hAnsi="宋体" w:eastAsia="宋体" w:cs="宋体"/>
                <w:kern w:val="0"/>
                <w:sz w:val="22"/>
                <w:szCs w:val="20"/>
                <w:lang w:eastAsia="zh-CN"/>
              </w:rPr>
              <w:t>甲状腺拉钩进入人体部位表面粗糙度Ra值应≤0.</w:t>
            </w:r>
            <w:r>
              <w:rPr>
                <w:rFonts w:hint="eastAsia" w:ascii="宋体" w:hAnsi="宋体" w:eastAsia="宋体" w:cs="宋体"/>
                <w:kern w:val="0"/>
                <w:sz w:val="22"/>
                <w:szCs w:val="20"/>
                <w:lang w:val="en-US" w:eastAsia="zh-CN"/>
              </w:rPr>
              <w:t>8</w:t>
            </w:r>
            <w:r>
              <w:rPr>
                <w:rFonts w:hint="eastAsia" w:ascii="宋体" w:hAnsi="宋体" w:eastAsia="宋体" w:cs="宋体"/>
                <w:kern w:val="0"/>
                <w:sz w:val="22"/>
                <w:szCs w:val="20"/>
                <w:lang w:eastAsia="zh-CN"/>
              </w:rPr>
              <w:t>μm，其余部分为≤1.6μm，甲状腺牵开器表面粗糙度Ra值应≤1.6μm。</w:t>
            </w:r>
          </w:p>
          <w:p>
            <w:pPr>
              <w:adjustRightInd w:val="0"/>
              <w:snapToGrid w:val="0"/>
              <w:spacing w:line="360" w:lineRule="auto"/>
              <w:ind w:firstLine="440" w:firstLineChars="200"/>
              <w:rPr>
                <w:rFonts w:hint="eastAsia"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7、甲状腺拉钩U型构体一遍加长到190mm，可以从腋窝一直深入到甲状腺。</w:t>
            </w:r>
          </w:p>
          <w:p>
            <w:pPr>
              <w:adjustRightInd w:val="0"/>
              <w:snapToGrid w:val="0"/>
              <w:spacing w:line="360" w:lineRule="auto"/>
              <w:ind w:firstLine="440" w:firstLineChars="200"/>
              <w:rPr>
                <w:rFonts w:hint="default" w:ascii="宋体" w:hAnsi="宋体" w:eastAsia="宋体" w:cs="宋体"/>
                <w:kern w:val="0"/>
                <w:sz w:val="24"/>
                <w:lang w:val="en-US" w:eastAsia="zh-CN"/>
              </w:rPr>
            </w:pPr>
            <w:r>
              <w:rPr>
                <w:rFonts w:hint="eastAsia" w:ascii="宋体" w:hAnsi="宋体" w:eastAsia="宋体" w:cs="宋体"/>
                <w:kern w:val="0"/>
                <w:sz w:val="22"/>
                <w:szCs w:val="20"/>
                <w:lang w:val="en-US" w:eastAsia="zh-CN"/>
              </w:rPr>
              <w:t>8、现选用热处理后超硬的耐腐蚀不锈钢材料一体加工成型。</w:t>
            </w:r>
            <w:bookmarkStart w:id="105" w:name="_GoBack"/>
            <w:bookmarkEnd w:id="10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2年，提供现场培训；如遇故障2小时响应，24小时到达现场维修。</w:t>
            </w:r>
          </w:p>
        </w:tc>
      </w:tr>
    </w:tbl>
    <w:p>
      <w:pPr>
        <w:rPr>
          <w:rFonts w:hint="eastAsia" w:ascii="宋体" w:hAnsi="宋体" w:cs="宋体"/>
          <w:color w:val="auto"/>
          <w:highlight w:val="none"/>
        </w:rPr>
      </w:pPr>
    </w:p>
    <w:p>
      <w:pPr>
        <w:pStyle w:val="13"/>
        <w:jc w:val="both"/>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jc w:val="cente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jc w:val="center"/>
        <w:rPr>
          <w:rFonts w:hint="eastAsia" w:ascii="宋体" w:hAnsi="宋体" w:cs="宋体"/>
          <w:color w:val="auto"/>
          <w:highlight w:val="none"/>
        </w:rPr>
      </w:pPr>
    </w:p>
    <w:p>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 xml:space="preserve">                   </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color w:val="auto"/>
          <w:sz w:val="28"/>
          <w:szCs w:val="28"/>
          <w:highlight w:val="none"/>
        </w:rPr>
      </w:pP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 xml:space="preserve">                    </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探头报价</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4"/>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AF48A"/>
    <w:multiLevelType w:val="singleLevel"/>
    <w:tmpl w:val="887AF48A"/>
    <w:lvl w:ilvl="0" w:tentative="0">
      <w:start w:val="1"/>
      <w:numFmt w:val="decimal"/>
      <w:suff w:val="nothing"/>
      <w:lvlText w:val="%1、"/>
      <w:lvlJc w:val="left"/>
    </w:lvl>
  </w:abstractNum>
  <w:abstractNum w:abstractNumId="1">
    <w:nsid w:val="C4DCA858"/>
    <w:multiLevelType w:val="singleLevel"/>
    <w:tmpl w:val="C4DCA858"/>
    <w:lvl w:ilvl="0" w:tentative="0">
      <w:start w:val="1"/>
      <w:numFmt w:val="decimal"/>
      <w:suff w:val="nothing"/>
      <w:lvlText w:val="%1、"/>
      <w:lvlJc w:val="left"/>
    </w:lvl>
  </w:abstractNum>
  <w:abstractNum w:abstractNumId="2">
    <w:nsid w:val="1196B2B3"/>
    <w:multiLevelType w:val="singleLevel"/>
    <w:tmpl w:val="1196B2B3"/>
    <w:lvl w:ilvl="0" w:tentative="0">
      <w:start w:val="3"/>
      <w:numFmt w:val="chineseCounting"/>
      <w:suff w:val="space"/>
      <w:lvlText w:val="第%1章"/>
      <w:lvlJc w:val="left"/>
      <w:rPr>
        <w:rFonts w:hint="eastAsia"/>
      </w:rPr>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A851B0"/>
    <w:rsid w:val="01F870B5"/>
    <w:rsid w:val="04550258"/>
    <w:rsid w:val="046F789F"/>
    <w:rsid w:val="05F97AC9"/>
    <w:rsid w:val="06BE0864"/>
    <w:rsid w:val="06D73A33"/>
    <w:rsid w:val="0762589B"/>
    <w:rsid w:val="07840C1C"/>
    <w:rsid w:val="080114A3"/>
    <w:rsid w:val="0BF43143"/>
    <w:rsid w:val="0E2516E7"/>
    <w:rsid w:val="0FDB5204"/>
    <w:rsid w:val="0FFD1525"/>
    <w:rsid w:val="10BD1107"/>
    <w:rsid w:val="11BF031F"/>
    <w:rsid w:val="12266F4A"/>
    <w:rsid w:val="12ED0C81"/>
    <w:rsid w:val="13471463"/>
    <w:rsid w:val="13811054"/>
    <w:rsid w:val="149F2FE4"/>
    <w:rsid w:val="14A44C54"/>
    <w:rsid w:val="15DE1435"/>
    <w:rsid w:val="164E3296"/>
    <w:rsid w:val="16A506F0"/>
    <w:rsid w:val="18D655C1"/>
    <w:rsid w:val="19B5718D"/>
    <w:rsid w:val="1A4B672E"/>
    <w:rsid w:val="1AB0046A"/>
    <w:rsid w:val="1B2D49DD"/>
    <w:rsid w:val="1C5E3C65"/>
    <w:rsid w:val="1DD75E51"/>
    <w:rsid w:val="1DFC0766"/>
    <w:rsid w:val="2050519F"/>
    <w:rsid w:val="215A1DA1"/>
    <w:rsid w:val="226642C0"/>
    <w:rsid w:val="237D4F74"/>
    <w:rsid w:val="267A740D"/>
    <w:rsid w:val="27412556"/>
    <w:rsid w:val="27C260C0"/>
    <w:rsid w:val="28E84B02"/>
    <w:rsid w:val="29206C33"/>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4703AC"/>
    <w:rsid w:val="5D51662D"/>
    <w:rsid w:val="5DAF270C"/>
    <w:rsid w:val="5E485BF2"/>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3B1AC0"/>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78A648A"/>
    <w:rsid w:val="7AEF68D3"/>
    <w:rsid w:val="7B40238E"/>
    <w:rsid w:val="7B7C25E4"/>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1"/>
    <w:qFormat/>
    <w:uiPriority w:val="0"/>
    <w:rPr>
      <w:rFonts w:ascii="宋体" w:hAnsi="宋体"/>
      <w:color w:val="0000FF"/>
      <w:sz w:val="24"/>
    </w:r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8131</Words>
  <Characters>8496</Characters>
  <Lines>46</Lines>
  <Paragraphs>13</Paragraphs>
  <TotalTime>140</TotalTime>
  <ScaleCrop>false</ScaleCrop>
  <LinksUpToDate>false</LinksUpToDate>
  <CharactersWithSpaces>9271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2023-08-25T00:43:00Z</cp:lastPrinted>
  <dcterms:modified xsi:type="dcterms:W3CDTF">2023-09-20T09:33:44Z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73EE9A29A623451A8DD43CB405DA52D2</vt:lpwstr>
  </property>
</Properties>
</file>