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eastAsia="宋体" w:cs="宋体"/>
          <w:b/>
          <w:sz w:val="36"/>
          <w:szCs w:val="36"/>
          <w:lang w:eastAsia="zh-CN"/>
        </w:rPr>
        <w:t>经颅磁脑反射电疗仪采购项目</w:t>
      </w:r>
      <w:r>
        <w:rPr>
          <w:rFonts w:hint="eastAsia" w:ascii="宋体" w:hAnsi="宋体" w:eastAsia="宋体" w:cs="宋体"/>
          <w:b/>
          <w:sz w:val="36"/>
          <w:szCs w:val="36"/>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63"/>
      <w:bookmarkStart w:id="1" w:name="_Toc528493130"/>
      <w:bookmarkStart w:id="2" w:name="_Toc528493563"/>
      <w:bookmarkStart w:id="3" w:name="_Toc528493082"/>
      <w:bookmarkStart w:id="4" w:name="_Toc52849426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80"/>
      <w:bookmarkStart w:id="7" w:name="_Toc28359003"/>
      <w:bookmarkStart w:id="8" w:name="_Toc35393791"/>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根据鄂东医疗集团市妇幼保健院的需求，就经颅磁脑反射电疗仪采购项目以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经颅磁脑反射电疗仪采购项目；</w:t>
      </w:r>
      <w:bookmarkStart w:id="107" w:name="_GoBack"/>
      <w:bookmarkEnd w:id="107"/>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项目预算</w:t>
      </w:r>
      <w:r>
        <w:rPr>
          <w:rFonts w:hint="eastAsia" w:ascii="宋体" w:hAnsi="宋体" w:cs="宋体"/>
          <w:color w:val="000000"/>
          <w:sz w:val="24"/>
        </w:rPr>
        <w:t>：</w:t>
      </w:r>
      <w:bookmarkEnd w:id="5"/>
      <w:bookmarkEnd w:id="6"/>
      <w:bookmarkEnd w:id="7"/>
      <w:bookmarkEnd w:id="8"/>
      <w:bookmarkEnd w:id="9"/>
      <w:bookmarkEnd w:id="10"/>
      <w:bookmarkStart w:id="11" w:name="_Toc28359004"/>
      <w:bookmarkStart w:id="12" w:name="_Toc35393623"/>
      <w:bookmarkStart w:id="13" w:name="_Toc35393792"/>
      <w:bookmarkStart w:id="14" w:name="_Toc28359081"/>
      <w:r>
        <w:rPr>
          <w:rFonts w:hint="eastAsia" w:ascii="宋体" w:hAnsi="宋体" w:cs="宋体"/>
          <w:color w:val="000000"/>
          <w:sz w:val="24"/>
          <w:lang w:val="en-US" w:eastAsia="zh-CN"/>
        </w:rPr>
        <w:t>9万元（超过预算金额视为无效投标）</w:t>
      </w: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11"/>
    <w:bookmarkEnd w:id="12"/>
    <w:bookmarkEnd w:id="13"/>
    <w:bookmarkEnd w:id="14"/>
    <w:p>
      <w:pPr>
        <w:spacing w:line="420" w:lineRule="exact"/>
        <w:rPr>
          <w:rFonts w:ascii="宋体" w:cs="宋体"/>
          <w:b/>
          <w:bCs/>
          <w:sz w:val="24"/>
        </w:rPr>
      </w:pPr>
      <w:bookmarkStart w:id="15" w:name="_Toc35393625"/>
      <w:bookmarkStart w:id="16" w:name="_Toc35393794"/>
      <w:bookmarkStart w:id="17" w:name="_Toc28359084"/>
      <w:bookmarkStart w:id="18" w:name="_Toc28359007"/>
      <w:bookmarkStart w:id="19" w:name="_Toc528493131"/>
      <w:bookmarkStart w:id="20" w:name="_Toc528493576"/>
      <w:bookmarkStart w:id="21" w:name="_Toc528493164"/>
      <w:bookmarkStart w:id="22" w:name="_Toc528493083"/>
      <w:bookmarkStart w:id="23"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报名时间：2022年8 月5日-2022年8月10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2、递交标书及开标时间：2022年8月11日下午15:30；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132"/>
      <w:bookmarkStart w:id="28" w:name="_Toc528493165"/>
      <w:bookmarkStart w:id="29" w:name="_Toc528493084"/>
      <w:bookmarkStart w:id="30" w:name="_Toc528493577"/>
      <w:bookmarkStart w:id="31" w:name="_Toc528494280"/>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4" w:name="_Toc528493086"/>
            <w:bookmarkStart w:id="35" w:name="_Toc528493167"/>
            <w:bookmarkStart w:id="36" w:name="_Toc528493579"/>
            <w:bookmarkStart w:id="37" w:name="_Toc528493134"/>
            <w:bookmarkStart w:id="38" w:name="_Toc528494285"/>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both"/>
        <w:rPr>
          <w:rFonts w:hint="eastAsia" w:ascii="宋体" w:hAnsi="宋体" w:cs="宋体"/>
        </w:rPr>
      </w:pPr>
    </w:p>
    <w:p>
      <w:pPr>
        <w:pStyle w:val="13"/>
        <w:ind w:firstLine="2241" w:firstLineChars="7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pPr>
    </w:p>
    <w:tbl>
      <w:tblPr>
        <w:tblStyle w:val="14"/>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865"/>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296" w:type="dxa"/>
            <w:gridSpan w:val="4"/>
            <w:noWrap w:val="0"/>
            <w:vAlign w:val="center"/>
          </w:tcPr>
          <w:p>
            <w:pPr>
              <w:adjustRightInd w:val="0"/>
              <w:snapToGrid w:val="0"/>
              <w:ind w:left="195"/>
              <w:jc w:val="center"/>
              <w:rPr>
                <w:rFonts w:hint="eastAsia" w:ascii="宋体" w:hAnsi="宋体"/>
                <w:b/>
                <w:szCs w:val="21"/>
              </w:rPr>
            </w:pPr>
            <w:r>
              <w:rPr>
                <w:rFonts w:hint="eastAsia" w:ascii="宋体" w:hAnsi="宋体" w:eastAsia="宋体" w:cs="宋体"/>
                <w:sz w:val="22"/>
                <w:szCs w:val="22"/>
                <w:u w:val="none"/>
                <w:lang w:eastAsia="zh-CN"/>
              </w:rPr>
              <w:t>经颅磁脑反射电疗仪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61" w:type="dxa"/>
            <w:gridSpan w:val="5"/>
            <w:noWrap w:val="0"/>
            <w:vAlign w:val="top"/>
          </w:tcPr>
          <w:p>
            <w:pPr>
              <w:widowControl/>
              <w:jc w:val="left"/>
              <w:rPr>
                <w:rFonts w:hint="eastAsia" w:ascii="宋体" w:hAnsi="宋体"/>
                <w:b/>
                <w:sz w:val="22"/>
                <w:szCs w:val="22"/>
                <w:lang w:val="en-US" w:eastAsia="zh-CN"/>
              </w:rPr>
            </w:pPr>
            <w:r>
              <w:rPr>
                <w:rFonts w:hint="eastAsia" w:ascii="宋体" w:hAnsi="宋体"/>
                <w:b/>
                <w:sz w:val="22"/>
                <w:szCs w:val="22"/>
                <w:lang w:eastAsia="zh-CN"/>
              </w:rPr>
              <w:t>配置</w:t>
            </w:r>
            <w:r>
              <w:rPr>
                <w:rFonts w:hint="eastAsia" w:ascii="宋体" w:hAnsi="宋体"/>
                <w:b/>
                <w:sz w:val="22"/>
                <w:szCs w:val="22"/>
              </w:rPr>
              <w:t>要求：</w:t>
            </w:r>
            <w:r>
              <w:rPr>
                <w:rFonts w:hint="eastAsia" w:ascii="宋体" w:hAnsi="宋体"/>
                <w:b/>
                <w:sz w:val="22"/>
                <w:szCs w:val="22"/>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w:t>
                  </w:r>
                </w:p>
                <w:p>
                  <w:pPr>
                    <w:keepNext w:val="0"/>
                    <w:keepLines w:val="0"/>
                    <w:widowControl/>
                    <w:numPr>
                      <w:ilvl w:val="0"/>
                      <w:numId w:val="0"/>
                    </w:numPr>
                    <w:suppressLineNumbers w:val="0"/>
                    <w:jc w:val="left"/>
                    <w:textAlignment w:val="center"/>
                    <w:rPr>
                      <w:rFonts w:hint="eastAsia"/>
                      <w:sz w:val="22"/>
                      <w:szCs w:val="22"/>
                      <w:lang w:eastAsia="zh-CN"/>
                    </w:rPr>
                  </w:pPr>
                  <w:r>
                    <w:rPr>
                      <w:rFonts w:hint="eastAsia" w:ascii="宋体" w:hAnsi="宋体" w:cs="宋体"/>
                      <w:i w:val="0"/>
                      <w:color w:val="000000"/>
                      <w:kern w:val="0"/>
                      <w:sz w:val="22"/>
                      <w:szCs w:val="22"/>
                      <w:highlight w:val="none"/>
                      <w:u w:val="none"/>
                      <w:lang w:val="en-US" w:eastAsia="zh-CN" w:bidi="ar"/>
                    </w:rPr>
                    <w:t>功用：</w:t>
                  </w:r>
                  <w:r>
                    <w:rPr>
                      <w:rFonts w:hint="eastAsia" w:ascii="宋体" w:hAnsi="宋体" w:eastAsia="宋体" w:cs="宋体"/>
                      <w:i w:val="0"/>
                      <w:color w:val="000000"/>
                      <w:kern w:val="0"/>
                      <w:sz w:val="22"/>
                      <w:szCs w:val="22"/>
                      <w:highlight w:val="none"/>
                      <w:u w:val="none"/>
                      <w:lang w:val="en-US" w:eastAsia="zh-CN" w:bidi="ar"/>
                    </w:rPr>
                    <w:t>以脑生理学、磁生物学、生物物理学和临床脑病治疗学为基础，通过特制的治疗发生体输出特定规律的经颅磁刺激</w:t>
                  </w:r>
                  <w:r>
                    <w:rPr>
                      <w:rFonts w:hint="eastAsia" w:ascii="宋体" w:hAnsi="宋体" w:cs="宋体"/>
                      <w:i w:val="0"/>
                      <w:color w:val="000000"/>
                      <w:kern w:val="0"/>
                      <w:sz w:val="22"/>
                      <w:szCs w:val="22"/>
                      <w:highlight w:val="none"/>
                      <w:u w:val="none"/>
                      <w:lang w:val="en-US" w:eastAsia="zh-CN" w:bidi="ar"/>
                    </w:rPr>
                    <w:t>，达到</w:t>
                  </w:r>
                  <w:r>
                    <w:rPr>
                      <w:rFonts w:hint="eastAsia" w:ascii="宋体" w:hAnsi="宋体" w:eastAsia="宋体" w:cs="宋体"/>
                      <w:i w:val="0"/>
                      <w:color w:val="000000"/>
                      <w:kern w:val="0"/>
                      <w:sz w:val="22"/>
                      <w:szCs w:val="22"/>
                      <w:highlight w:val="none"/>
                      <w:u w:val="none"/>
                      <w:lang w:val="en-US" w:eastAsia="zh-CN" w:bidi="ar"/>
                    </w:rPr>
                    <w:t>增加脑血管弹性</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改善病灶区的血液循环</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改善脑组织的代谢环境</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引导忠者脑磁功能趋向正常化、秩序化</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变频震动按摩</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激活脑细胞、舒缓疲劳、减轻压力、提高睡眠质量</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提高头脑淌晰度和反应能力</w:t>
                  </w:r>
                  <w:r>
                    <w:rPr>
                      <w:rFonts w:hint="eastAsia"/>
                      <w:sz w:val="22"/>
                      <w:szCs w:val="22"/>
                    </w:rPr>
                    <w:t>儿童分析模式</w:t>
                  </w:r>
                  <w:r>
                    <w:rPr>
                      <w:rFonts w:hint="eastAsia"/>
                      <w:sz w:val="22"/>
                      <w:szCs w:val="22"/>
                      <w:lang w:eastAsia="zh-CN"/>
                    </w:rPr>
                    <w:t>；</w:t>
                  </w:r>
                </w:p>
                <w:p>
                  <w:pPr>
                    <w:keepNext w:val="0"/>
                    <w:keepLines w:val="0"/>
                    <w:widowControl/>
                    <w:numPr>
                      <w:ilvl w:val="0"/>
                      <w:numId w:val="0"/>
                    </w:numPr>
                    <w:suppressLineNumbers w:val="0"/>
                    <w:jc w:val="left"/>
                    <w:textAlignment w:val="center"/>
                    <w:rPr>
                      <w:rFonts w:hint="eastAsia"/>
                      <w:sz w:val="22"/>
                      <w:szCs w:val="22"/>
                      <w:lang w:eastAsia="zh-CN"/>
                    </w:rPr>
                  </w:pPr>
                  <w:r>
                    <w:rPr>
                      <w:rFonts w:hint="eastAsia"/>
                      <w:sz w:val="22"/>
                      <w:szCs w:val="22"/>
                      <w:lang w:eastAsia="zh-CN"/>
                    </w:rPr>
                    <w:t>配置清单：</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主机及配套键盘、鼠标及垫</w:t>
                  </w:r>
                  <w:r>
                    <w:rPr>
                      <w:rStyle w:val="31"/>
                      <w:rFonts w:hint="eastAsia" w:eastAsia="宋体"/>
                      <w:sz w:val="22"/>
                      <w:szCs w:val="22"/>
                      <w:lang w:val="en-US" w:eastAsia="zh-CN" w:bidi="ar"/>
                    </w:rPr>
                    <w:t>、电脑显示屏、</w:t>
                  </w:r>
                  <w:r>
                    <w:rPr>
                      <w:rFonts w:hint="eastAsia" w:ascii="宋体" w:hAnsi="宋体" w:eastAsia="宋体" w:cs="宋体"/>
                      <w:i w:val="0"/>
                      <w:iCs w:val="0"/>
                      <w:color w:val="000000"/>
                      <w:kern w:val="0"/>
                      <w:sz w:val="22"/>
                      <w:szCs w:val="22"/>
                      <w:u w:val="none"/>
                      <w:lang w:val="en-US" w:eastAsia="zh-CN" w:bidi="ar"/>
                    </w:rPr>
                    <w:t>环保专用台车、打印机、电源线、检测片各1；儿童专用经颅磁反射治疗帽、保险管各2；脑电反射电极、肌电反射电极各1组；脑电反射电极片、肌电反射电极片各1包</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tc>
            </w:tr>
          </w:tbl>
          <w:p>
            <w:pPr>
              <w:widowControl/>
              <w:jc w:val="left"/>
              <w:rPr>
                <w:rFonts w:hint="default" w:ascii="宋体" w:hAnsi="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9861" w:type="dxa"/>
            <w:gridSpan w:val="5"/>
            <w:noWrap w:val="0"/>
            <w:vAlign w:val="top"/>
          </w:tcPr>
          <w:p>
            <w:pPr>
              <w:adjustRightInd w:val="0"/>
              <w:snapToGrid w:val="0"/>
              <w:rPr>
                <w:rFonts w:hint="eastAsia" w:ascii="宋体" w:hAnsi="宋体"/>
                <w:b/>
                <w:color w:val="000000"/>
                <w:sz w:val="22"/>
                <w:szCs w:val="22"/>
              </w:rPr>
            </w:pPr>
            <w:r>
              <w:rPr>
                <w:rFonts w:hint="eastAsia" w:ascii="宋体" w:hAnsi="宋体"/>
                <w:b/>
                <w:color w:val="000000"/>
                <w:sz w:val="22"/>
                <w:szCs w:val="22"/>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 w:val="22"/>
                <w:szCs w:val="22"/>
              </w:rPr>
              <w:t>：</w:t>
            </w:r>
          </w:p>
          <w:p>
            <w:pPr>
              <w:adjustRightInd w:val="0"/>
              <w:snapToGrid w:val="0"/>
              <w:rPr>
                <w:rFonts w:hint="eastAsia" w:ascii="宋体" w:hAnsi="宋体"/>
                <w:b/>
                <w:color w:val="000000"/>
                <w:sz w:val="22"/>
                <w:szCs w:val="22"/>
              </w:rPr>
            </w:pP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一、功能配置：</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1、</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sz w:val="22"/>
                <w:szCs w:val="22"/>
                <w:lang w:val="en-US" w:eastAsia="zh-CN"/>
              </w:rPr>
              <w:t>四功能合一；</w:t>
            </w:r>
            <w:r>
              <w:rPr>
                <w:rFonts w:hint="eastAsia" w:ascii="宋体" w:hAnsi="宋体" w:cs="宋体"/>
                <w:i w:val="0"/>
                <w:color w:val="000000"/>
                <w:kern w:val="0"/>
                <w:sz w:val="22"/>
                <w:szCs w:val="22"/>
                <w:u w:val="none"/>
                <w:lang w:val="en-US" w:eastAsia="zh-CN" w:bidi="ar"/>
              </w:rPr>
              <w:t>配备儿童专用经颅磁治疗帽，</w:t>
            </w:r>
            <w:r>
              <w:rPr>
                <w:rFonts w:hint="eastAsia" w:ascii="宋体" w:hAnsi="宋体" w:cs="宋体"/>
                <w:sz w:val="22"/>
                <w:szCs w:val="22"/>
                <w:lang w:val="en-US" w:eastAsia="zh-CN"/>
              </w:rPr>
              <w:t>脑电反射、肌电反射、震动按摩功能可同时使用也可单独使用，两个功能同时使用可用于同一人；各项功能单独使用，可同时治疗4人</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2、</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sz w:val="22"/>
                <w:szCs w:val="22"/>
                <w:lang w:val="en-US" w:eastAsia="zh-CN"/>
              </w:rPr>
              <w:t>带有益智娱乐视频，起缓解紧张、助于配合治疗</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3、</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sz w:val="22"/>
                <w:szCs w:val="22"/>
                <w:lang w:val="en-US" w:eastAsia="zh-CN"/>
              </w:rPr>
              <w:t>推车式不可分拆柜机</w:t>
            </w:r>
          </w:p>
          <w:p>
            <w:pPr>
              <w:keepNext w:val="0"/>
              <w:keepLines w:val="0"/>
              <w:widowControl/>
              <w:numPr>
                <w:ilvl w:val="0"/>
                <w:numId w:val="0"/>
              </w:numPr>
              <w:suppressLineNumbers w:val="0"/>
              <w:jc w:val="both"/>
              <w:textAlignment w:val="center"/>
              <w:rPr>
                <w:rFonts w:hint="default" w:ascii="宋体" w:hAnsi="宋体" w:cs="宋体"/>
                <w:sz w:val="22"/>
                <w:szCs w:val="22"/>
                <w:lang w:val="en-US" w:eastAsia="zh-CN"/>
              </w:rPr>
            </w:pPr>
            <w:r>
              <w:rPr>
                <w:rFonts w:hint="eastAsia" w:ascii="宋体" w:hAnsi="宋体" w:cs="宋体"/>
                <w:sz w:val="22"/>
                <w:szCs w:val="22"/>
                <w:lang w:val="en-US" w:eastAsia="zh-CN"/>
              </w:rPr>
              <w:t>4、 电脑显示屏不小于10英寸</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5、具有打印及存储病例功能</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二、工作条件：</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1、环境温度：5℃～40℃</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2、相对湿度：≤85%</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3、大气压力：700hPa～1060hPa</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4、电源要求：交流220V±22V , 50Hz±1Hz</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5、输入功率：≤80VA         </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三、技术参数  </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1、经颅磁脑反射输出部分基本参数：</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（1）治疗体磁感应强度： 弱档：6mT±3mT</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强档：14mT±4mT</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（2）治疗体磁场频率： 50Hz±1Hz。</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(3)振动按摩功能：按摩强度分为4档（1～4）</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 xml:space="preserve">                    按摩频率分为5档（1～5）</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（4) 治疗体数量：每个经颅磁脑反射治疗帽有6个治疗体，治疗体为彩色，头围部分5个治疗体可以横向移动， 也可根据头围大小调节经颅磁脑反射治疗帽子的弹力带</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（5）治疗体强度和频率有专用工具进行检测</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（6）具有开路闭锁功能</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（7）时间选择：具有定时功能，可在1min~99min范围内设定所需时间</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（8）治疗帽的各导线连接部位能承受20N拉力</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2、电疗输出部分基本参数：</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sz w:val="22"/>
                <w:szCs w:val="22"/>
                <w:lang w:val="en-US" w:eastAsia="zh-CN"/>
              </w:rPr>
              <w:t>（1）脑电反射电极最大输出电流强度＜20mA</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（2）肌电反射电刺激工作频率8kHz±30%</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（3）肌电反射电极最大输出电流强度60mA±30%</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（4）恒流输出特性，输出负载变化±50％时，输出电流变化不大于5％</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（5）输出电路最大电压峰值＜100V</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（6）电极数量：每路电疗输出最多可同时连接1对电极（1对脑电反射电极）；肌电反射电极可同时连接2对电极</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（7）连续工作时间：不少于4小时</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3、需出具电子信息产品监督检验院出具的产品检验报告、中华人民共和国版权局出具的计算机软件著作权证书并通过ISO9001:2015质量管理体系认证和ISO13485:2016医疗器械质量管理体系认证</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both"/>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质保≥</w:t>
            </w:r>
            <w:r>
              <w:rPr>
                <w:rFonts w:hint="eastAsia" w:ascii="宋体" w:hAnsi="宋体" w:cs="宋体"/>
                <w:i w:val="0"/>
                <w:color w:val="000000"/>
                <w:kern w:val="0"/>
                <w:sz w:val="22"/>
                <w:szCs w:val="22"/>
                <w:highlight w:val="none"/>
                <w:u w:val="none"/>
                <w:lang w:val="en-US" w:eastAsia="zh-CN" w:bidi="ar"/>
              </w:rPr>
              <w:t>3</w:t>
            </w:r>
            <w:r>
              <w:rPr>
                <w:rFonts w:hint="eastAsia" w:ascii="宋体" w:hAnsi="宋体" w:eastAsia="宋体" w:cs="宋体"/>
                <w:i w:val="0"/>
                <w:color w:val="000000"/>
                <w:kern w:val="0"/>
                <w:sz w:val="22"/>
                <w:szCs w:val="22"/>
                <w:highlight w:val="none"/>
                <w:u w:val="none"/>
                <w:lang w:val="en-US" w:eastAsia="zh-CN" w:bidi="ar"/>
              </w:rPr>
              <w:t>年；如遇故障2小时响应，48小时内技术人员上门服务</w:t>
            </w:r>
            <w:r>
              <w:rPr>
                <w:rFonts w:hint="eastAsia" w:ascii="宋体" w:hAnsi="宋体" w:cs="宋体"/>
                <w:i w:val="0"/>
                <w:color w:val="000000"/>
                <w:kern w:val="0"/>
                <w:sz w:val="22"/>
                <w:szCs w:val="22"/>
                <w:highlight w:val="none"/>
                <w:u w:val="none"/>
                <w:lang w:val="en-US" w:eastAsia="zh-CN" w:bidi="ar"/>
              </w:rPr>
              <w:t>；免费培训至院方工作人员熟练掌</w:t>
            </w:r>
          </w:p>
          <w:p>
            <w:pPr>
              <w:rPr>
                <w:rFonts w:hint="eastAsia" w:ascii="宋体" w:hAnsi="宋体" w:cs="宋体"/>
                <w:i w:val="0"/>
                <w:color w:val="000000"/>
                <w:kern w:val="0"/>
                <w:sz w:val="22"/>
                <w:szCs w:val="22"/>
                <w:u w:val="none"/>
                <w:lang w:val="en-US" w:eastAsia="zh-CN" w:bidi="ar"/>
              </w:rPr>
            </w:pPr>
          </w:p>
        </w:tc>
      </w:tr>
    </w:tbl>
    <w:p>
      <w:pPr>
        <w:pStyle w:val="2"/>
        <w:rPr>
          <w:rFonts w:hint="eastAsia" w:eastAsia="宋体"/>
          <w:color w:val="000000" w:themeColor="text1"/>
          <w:lang w:eastAsia="zh-CN"/>
          <w14:textFill>
            <w14:solidFill>
              <w14:schemeClr w14:val="tx1"/>
            </w14:solidFill>
          </w14:textFill>
        </w:rPr>
      </w:pPr>
    </w:p>
    <w:p/>
    <w:p>
      <w:pPr>
        <w:pStyle w:val="13"/>
        <w:jc w:val="both"/>
        <w:rPr>
          <w:rFonts w:hint="eastAsia" w:ascii="宋体" w:hAnsi="宋体" w:eastAsia="宋体" w:cs="宋体"/>
          <w:color w:val="auto"/>
          <w:sz w:val="28"/>
          <w:szCs w:val="28"/>
          <w:highlight w:val="none"/>
          <w:lang w:eastAsia="zh-CN"/>
        </w:rPr>
      </w:pPr>
      <w:bookmarkStart w:id="39" w:name="_Toc528493169"/>
      <w:bookmarkStart w:id="40" w:name="_Toc528493581"/>
      <w:bookmarkStart w:id="41" w:name="_Toc528493136"/>
      <w:bookmarkStart w:id="42" w:name="_Toc528493088"/>
      <w:bookmarkStart w:id="43" w:name="_Toc23718"/>
    </w:p>
    <w:p>
      <w:pPr>
        <w:rPr>
          <w:rFonts w:hint="eastAsia"/>
          <w:lang w:eastAsia="zh-CN"/>
        </w:rPr>
      </w:pPr>
    </w:p>
    <w:p>
      <w:pPr>
        <w:pStyle w:val="2"/>
        <w:rPr>
          <w:rFonts w:hint="eastAsia"/>
          <w:lang w:eastAsia="zh-CN"/>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13"/>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2"/>
        <w:rPr>
          <w:rFonts w:hint="eastAsia"/>
        </w:rPr>
      </w:pPr>
    </w:p>
    <w:p>
      <w:pPr>
        <w:rPr>
          <w:rFonts w:hint="eastAsia"/>
        </w:rPr>
      </w:pPr>
    </w:p>
    <w:p>
      <w:pPr>
        <w:rPr>
          <w:rFonts w:hint="eastAsia"/>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172"/>
            <w:bookmarkStart w:id="45" w:name="_Toc528494290"/>
            <w:bookmarkStart w:id="46" w:name="_Toc528493139"/>
            <w:bookmarkStart w:id="47" w:name="_Toc528493091"/>
            <w:bookmarkStart w:id="48" w:name="_Toc528493584"/>
            <w:bookmarkStart w:id="49" w:name="_Toc528493928"/>
            <w:bookmarkStart w:id="50" w:name="_Toc26339"/>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929"/>
            <w:bookmarkStart w:id="52" w:name="_Toc31908"/>
            <w:bookmarkStart w:id="53" w:name="_Toc528494291"/>
            <w:bookmarkStart w:id="54" w:name="_Toc528493092"/>
            <w:bookmarkStart w:id="55" w:name="_Toc528493173"/>
            <w:bookmarkStart w:id="56" w:name="_Toc528493140"/>
            <w:bookmarkStart w:id="57" w:name="_Toc528493585"/>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12278"/>
            <w:bookmarkStart w:id="59" w:name="_Toc528493930"/>
            <w:bookmarkStart w:id="60" w:name="_Toc528493174"/>
            <w:bookmarkStart w:id="61" w:name="_Toc528493093"/>
            <w:bookmarkStart w:id="62" w:name="_Toc528493141"/>
            <w:bookmarkStart w:id="63" w:name="_Toc528493586"/>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587"/>
            <w:bookmarkStart w:id="66" w:name="_Toc14189"/>
            <w:bookmarkStart w:id="67" w:name="_Toc528493931"/>
            <w:bookmarkStart w:id="68" w:name="_Toc528493175"/>
            <w:bookmarkStart w:id="69" w:name="_Toc528494293"/>
            <w:bookmarkStart w:id="70" w:name="_Toc528493094"/>
            <w:bookmarkStart w:id="71" w:name="_Toc528493142"/>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177"/>
            <w:bookmarkStart w:id="73" w:name="_Toc528493096"/>
            <w:bookmarkStart w:id="74" w:name="_Toc528493933"/>
            <w:bookmarkStart w:id="75" w:name="_Toc528493144"/>
            <w:bookmarkStart w:id="76" w:name="_Toc528494295"/>
            <w:bookmarkStart w:id="77" w:name="_Toc528493589"/>
            <w:bookmarkStart w:id="78" w:name="_Toc1573"/>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528494296"/>
            <w:bookmarkStart w:id="80" w:name="_Toc528493145"/>
            <w:bookmarkStart w:id="81" w:name="_Toc528493097"/>
            <w:bookmarkStart w:id="82" w:name="_Toc11391"/>
            <w:bookmarkStart w:id="83" w:name="_Toc528493178"/>
            <w:bookmarkStart w:id="84" w:name="_Toc528493590"/>
            <w:bookmarkStart w:id="85" w:name="_Toc528493934"/>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098"/>
            <w:bookmarkStart w:id="88" w:name="_Toc528493591"/>
            <w:bookmarkStart w:id="89" w:name="_Toc528493146"/>
            <w:bookmarkStart w:id="90" w:name="_Toc528493935"/>
            <w:bookmarkStart w:id="91" w:name="_Toc528493179"/>
            <w:bookmarkStart w:id="92" w:name="_Toc17906"/>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592"/>
            <w:bookmarkStart w:id="94" w:name="_Toc528493147"/>
            <w:bookmarkStart w:id="95" w:name="_Toc528494298"/>
            <w:bookmarkStart w:id="96" w:name="_Toc528493099"/>
            <w:bookmarkStart w:id="97" w:name="_Toc528493936"/>
            <w:bookmarkStart w:id="98" w:name="_Toc22914"/>
            <w:bookmarkStart w:id="99" w:name="_Toc528493180"/>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01"/>
            <w:bookmarkStart w:id="101" w:name="_Toc528494300"/>
            <w:bookmarkStart w:id="102" w:name="_Toc528493938"/>
            <w:bookmarkStart w:id="103" w:name="_Toc12286"/>
            <w:bookmarkStart w:id="104" w:name="_Toc528493149"/>
            <w:bookmarkStart w:id="105" w:name="_Toc528493182"/>
            <w:bookmarkStart w:id="106" w:name="_Toc528493594"/>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B2B3"/>
    <w:multiLevelType w:val="singleLevel"/>
    <w:tmpl w:val="1196B2B3"/>
    <w:lvl w:ilvl="0" w:tentative="0">
      <w:start w:val="3"/>
      <w:numFmt w:val="chineseCounting"/>
      <w:suff w:val="space"/>
      <w:lvlText w:val="第%1章"/>
      <w:lvlJc w:val="left"/>
      <w:rPr>
        <w:rFonts w:hint="eastAsia"/>
      </w:rPr>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6D73A33"/>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C5E3C65"/>
    <w:rsid w:val="1DD75E51"/>
    <w:rsid w:val="1DFC0766"/>
    <w:rsid w:val="2050519F"/>
    <w:rsid w:val="237D4F74"/>
    <w:rsid w:val="27412556"/>
    <w:rsid w:val="27C260C0"/>
    <w:rsid w:val="29206C33"/>
    <w:rsid w:val="29B528D3"/>
    <w:rsid w:val="29C779B7"/>
    <w:rsid w:val="29E32F07"/>
    <w:rsid w:val="2A73335D"/>
    <w:rsid w:val="2A8D2CB7"/>
    <w:rsid w:val="2DC02D85"/>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365E00"/>
    <w:rsid w:val="38A01607"/>
    <w:rsid w:val="3CAB5DA5"/>
    <w:rsid w:val="3D2A474F"/>
    <w:rsid w:val="3D2F2EA9"/>
    <w:rsid w:val="3DE94265"/>
    <w:rsid w:val="43927C81"/>
    <w:rsid w:val="444F1683"/>
    <w:rsid w:val="445760DF"/>
    <w:rsid w:val="44A927C6"/>
    <w:rsid w:val="44AC4AE9"/>
    <w:rsid w:val="44CB2166"/>
    <w:rsid w:val="45940BE3"/>
    <w:rsid w:val="492B0B88"/>
    <w:rsid w:val="49357432"/>
    <w:rsid w:val="4B887AAF"/>
    <w:rsid w:val="4B9C1030"/>
    <w:rsid w:val="4C667855"/>
    <w:rsid w:val="4F865F47"/>
    <w:rsid w:val="4FAF7B48"/>
    <w:rsid w:val="512F569D"/>
    <w:rsid w:val="54B24A6E"/>
    <w:rsid w:val="55A7040C"/>
    <w:rsid w:val="5637054A"/>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3555DAC"/>
    <w:rsid w:val="73EB54D8"/>
    <w:rsid w:val="750E5531"/>
    <w:rsid w:val="764F0B5A"/>
    <w:rsid w:val="767D50AA"/>
    <w:rsid w:val="768D3C35"/>
    <w:rsid w:val="76994FB4"/>
    <w:rsid w:val="77662248"/>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8135</Words>
  <Characters>8500</Characters>
  <Lines>46</Lines>
  <Paragraphs>13</Paragraphs>
  <TotalTime>9</TotalTime>
  <ScaleCrop>false</ScaleCrop>
  <LinksUpToDate>false</LinksUpToDate>
  <CharactersWithSpaces>9275</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2022-08-05T02:21:29Z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73EE9A29A623451A8DD43CB405DA52D2</vt:lpwstr>
  </property>
</Properties>
</file>