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经皮黄疸仪</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563"/>
      <w:bookmarkStart w:id="1" w:name="_Toc528493082"/>
      <w:bookmarkStart w:id="2" w:name="_Toc528493130"/>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28359080"/>
      <w:bookmarkStart w:id="7" w:name="_Toc35393791"/>
      <w:bookmarkStart w:id="8" w:name="_Toc35393622"/>
      <w:r>
        <w:rPr>
          <w:rFonts w:hint="eastAsia" w:ascii="宋体" w:hAnsi="宋体" w:cs="宋体"/>
          <w:sz w:val="24"/>
          <w:lang w:val="zh-CN"/>
        </w:rPr>
        <w:t>根据鄂东医疗集团市妇幼保健院的需求，就经皮黄疸仪采购项目以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经皮黄疸仪采购项目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cs="宋体"/>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sz w:val="24"/>
          <w:lang w:val="en-US" w:eastAsia="zh-CN"/>
        </w:rPr>
        <w:t>1.8万元整（超过预算报价，视为无效投标）</w:t>
      </w:r>
    </w:p>
    <w:p>
      <w:pPr>
        <w:spacing w:line="420" w:lineRule="exact"/>
        <w:ind w:firstLine="480" w:firstLineChars="200"/>
        <w:rPr>
          <w:rFonts w:hint="eastAsia" w:ascii="宋体" w:hAnsi="宋体" w:cs="宋体"/>
          <w:sz w:val="24"/>
          <w:lang w:val="zh-CN" w:eastAsia="zh-CN"/>
        </w:rPr>
      </w:pPr>
      <w:r>
        <w:rPr>
          <w:rFonts w:hint="eastAsia" w:ascii="宋体" w:hAnsi="宋体" w:cs="宋体"/>
          <w:sz w:val="24"/>
          <w:lang w:val="zh-CN"/>
        </w:rPr>
        <w:t>4.采购数量：</w:t>
      </w:r>
      <w:r>
        <w:rPr>
          <w:rFonts w:hint="eastAsia" w:ascii="宋体" w:hAnsi="宋体" w:cs="宋体"/>
          <w:sz w:val="24"/>
          <w:lang w:val="en-US" w:eastAsia="zh-CN"/>
        </w:rPr>
        <w:t>1</w:t>
      </w:r>
      <w:r>
        <w:rPr>
          <w:rFonts w:hint="eastAsia" w:ascii="宋体" w:hAnsi="宋体" w:cs="宋体"/>
          <w:sz w:val="24"/>
          <w:lang w:val="zh-CN" w:eastAsia="zh-CN"/>
        </w:rPr>
        <w:t>套</w:t>
      </w:r>
    </w:p>
    <w:bookmarkEnd w:id="5"/>
    <w:bookmarkEnd w:id="6"/>
    <w:bookmarkEnd w:id="7"/>
    <w:bookmarkEnd w:id="8"/>
    <w:bookmarkEnd w:id="9"/>
    <w:bookmarkEnd w:id="10"/>
    <w:p>
      <w:pPr>
        <w:spacing w:line="420" w:lineRule="exact"/>
        <w:rPr>
          <w:rFonts w:ascii="宋体" w:cs="宋体"/>
          <w:b/>
          <w:bCs/>
          <w:color w:val="000000"/>
          <w:sz w:val="24"/>
        </w:rPr>
      </w:pPr>
      <w:bookmarkStart w:id="11" w:name="_Toc28359004"/>
      <w:bookmarkStart w:id="12" w:name="_Toc35393623"/>
      <w:bookmarkStart w:id="13" w:name="_Toc28359081"/>
      <w:bookmarkStart w:id="14" w:name="_Toc35393792"/>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07"/>
      <w:bookmarkStart w:id="16" w:name="_Toc35393625"/>
      <w:bookmarkStart w:id="17" w:name="_Toc28359084"/>
      <w:bookmarkStart w:id="18" w:name="_Toc35393794"/>
      <w:bookmarkStart w:id="19" w:name="_Toc528493083"/>
      <w:bookmarkStart w:id="20" w:name="_Toc528493131"/>
      <w:bookmarkStart w:id="21" w:name="_Toc528493164"/>
      <w:bookmarkStart w:id="22" w:name="_Toc528493576"/>
      <w:bookmarkStart w:id="23" w:name="_Toc528494275"/>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报名登记表，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报名时间：2021年8月16日-2021年8 月18日（上午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2、递交标书及开标时间：2021年 8 月19日上午11:00；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8</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25"/>
      <w:r>
        <w:rPr>
          <w:rStyle w:val="18"/>
          <w:rFonts w:hint="eastAsia" w:hAnsi="宋体" w:cs="宋体"/>
          <w:sz w:val="24"/>
          <w:szCs w:val="24"/>
        </w:rPr>
        <w:t>的澄清与修改</w:t>
      </w:r>
    </w:p>
    <w:p>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26" w:name="_Toc528494278"/>
      <w:r>
        <w:rPr>
          <w:rStyle w:val="18"/>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27" w:name="_Toc528493084"/>
      <w:bookmarkStart w:id="28" w:name="_Toc528493577"/>
      <w:bookmarkStart w:id="29" w:name="_Toc528493132"/>
      <w:bookmarkStart w:id="30" w:name="_Toc528494280"/>
      <w:bookmarkStart w:id="31" w:name="_Toc528493165"/>
      <w:r>
        <w:rPr>
          <w:rStyle w:val="18"/>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32" w:name="_Toc528494284"/>
      <w:r>
        <w:rPr>
          <w:rStyle w:val="18"/>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66"/>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bookmarkStart w:id="34" w:name="_Toc528493167"/>
            <w:bookmarkStart w:id="35" w:name="_Toc528493086"/>
            <w:bookmarkStart w:id="36" w:name="_Toc528493579"/>
            <w:bookmarkStart w:id="37" w:name="_Toc528494285"/>
            <w:bookmarkStart w:id="38" w:name="_Toc528493134"/>
            <w:r>
              <w:rPr>
                <w:rFonts w:hint="eastAsia" w:asciiTheme="minorEastAsia" w:hAnsiTheme="minorEastAsia" w:eastAsiaTheme="minorEastAsia"/>
                <w:b/>
                <w:sz w:val="24"/>
              </w:rPr>
              <w:t>评审项目</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ind w:left="420"/>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报价</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asciiTheme="minorEastAsia" w:hAnsiTheme="minorEastAsia" w:eastAsiaTheme="minorEastAsia"/>
                <w:sz w:val="24"/>
              </w:rPr>
            </w:pPr>
            <w:r>
              <w:rPr>
                <w:rFonts w:hint="eastAsia" w:asciiTheme="minorEastAsia" w:hAnsiTheme="minorEastAsia" w:eastAsiaTheme="minorEastAsia"/>
                <w:sz w:val="24"/>
              </w:rPr>
              <w:t>本项目价格评议采取低价优先法计算，即满足磋商文件要求且报价最低的磋商报价为评标基准价，其价格分为满分。供应商的价格分统一按照下列公式计算：</w:t>
            </w:r>
          </w:p>
          <w:p>
            <w:pPr>
              <w:spacing w:line="280" w:lineRule="exact"/>
              <w:ind w:firstLine="33" w:firstLineChars="14"/>
              <w:rPr>
                <w:rFonts w:asciiTheme="minorEastAsia" w:hAnsiTheme="minorEastAsia" w:eastAsiaTheme="minorEastAsia"/>
                <w:sz w:val="24"/>
              </w:rPr>
            </w:pPr>
            <w:r>
              <w:rPr>
                <w:rFonts w:hint="eastAsia" w:asciiTheme="minorEastAsia" w:hAnsiTheme="minorEastAsia" w:eastAsiaTheme="minorEastAsia"/>
                <w:sz w:val="24"/>
              </w:rPr>
              <w:t>磋商报价得分=（评标基准价/投标报价）×</w:t>
            </w:r>
            <w:r>
              <w:rPr>
                <w:rFonts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技术</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40</w:t>
            </w:r>
            <w:r>
              <w:rPr>
                <w:rFonts w:hint="eastAsia" w:asciiTheme="minorEastAsia" w:hAnsiTheme="minorEastAsia" w:eastAsiaTheme="minorEastAsia"/>
                <w:color w:val="000000" w:themeColor="text1"/>
                <w:sz w:val="24"/>
              </w:rPr>
              <w:t>分</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1.技术指标全部符合采购要求得</w:t>
            </w:r>
            <w:r>
              <w:rPr>
                <w:rFonts w:asciiTheme="minorEastAsia" w:hAnsiTheme="minorEastAsia" w:eastAsiaTheme="minorEastAsia"/>
                <w:color w:val="000000" w:themeColor="text1"/>
                <w:sz w:val="24"/>
              </w:rPr>
              <w:t>40</w:t>
            </w:r>
            <w:r>
              <w:rPr>
                <w:rFonts w:hint="eastAsia" w:asciiTheme="minorEastAsia" w:hAnsiTheme="minorEastAsia" w:eastAsiaTheme="minorEastAsia"/>
                <w:color w:val="000000" w:themeColor="text1"/>
                <w:sz w:val="24"/>
              </w:rPr>
              <w:t>分。</w:t>
            </w:r>
          </w:p>
          <w:p>
            <w:pPr>
              <w:spacing w:line="28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2.带“*”号技术参数低于招标要求的，每一项减</w:t>
            </w:r>
            <w:r>
              <w:rPr>
                <w:rFonts w:hint="eastAsia" w:asciiTheme="minorEastAsia" w:hAnsiTheme="minorEastAsia" w:eastAsiaTheme="minorEastAsia"/>
                <w:color w:val="000000" w:themeColor="text1"/>
                <w:sz w:val="24"/>
                <w:lang w:val="en-US" w:eastAsia="zh-CN"/>
              </w:rPr>
              <w:t>5</w:t>
            </w:r>
            <w:r>
              <w:rPr>
                <w:rFonts w:hint="eastAsia" w:asciiTheme="minorEastAsia" w:hAnsiTheme="minorEastAsia" w:eastAsiaTheme="minorEastAsia"/>
                <w:color w:val="000000" w:themeColor="text1"/>
                <w:sz w:val="24"/>
              </w:rPr>
              <w:t>分。非“*” 号技术参数低于招标要求的，每一项减</w:t>
            </w:r>
            <w:r>
              <w:rPr>
                <w:rFonts w:hint="eastAsia" w:asciiTheme="minorEastAsia" w:hAnsiTheme="minorEastAsia" w:eastAsiaTheme="minorEastAsia"/>
                <w:color w:val="000000" w:themeColor="text1"/>
                <w:sz w:val="24"/>
                <w:lang w:val="en-US" w:eastAsia="zh-CN"/>
              </w:rPr>
              <w:t>3</w:t>
            </w:r>
            <w:r>
              <w:rPr>
                <w:rFonts w:hint="eastAsia" w:asciiTheme="minorEastAsia" w:hAnsiTheme="minorEastAsia" w:eastAsiaTheme="minorEastAsia"/>
                <w:color w:val="000000" w:themeColor="text1"/>
                <w:sz w:val="24"/>
              </w:rPr>
              <w:t>分。</w:t>
            </w:r>
          </w:p>
          <w:p>
            <w:pPr>
              <w:spacing w:line="28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3．复制磋商文件技术要求作为实际响应数据或投标响应数据无对应支持文件的，其技术响应将按负偏离处理。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技术优势</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40" w:firstLineChars="100"/>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lang w:val="en-US" w:eastAsia="zh-CN"/>
              </w:rPr>
              <w:t>3</w:t>
            </w:r>
            <w:r>
              <w:rPr>
                <w:rFonts w:hint="eastAsia" w:asciiTheme="minorEastAsia" w:hAnsiTheme="minorEastAsia" w:eastAsiaTheme="minorEastAsia"/>
                <w:color w:val="000000" w:themeColor="text1"/>
                <w:sz w:val="24"/>
              </w:rPr>
              <w:t>分</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根据投标产品选型的功能性实用性进行评议：</w:t>
            </w:r>
          </w:p>
          <w:p>
            <w:pPr>
              <w:spacing w:line="280" w:lineRule="exac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产品选型合理，功能齐全和实用性强得</w:t>
            </w:r>
            <w:r>
              <w:rPr>
                <w:rFonts w:hint="eastAsia" w:asciiTheme="minorEastAsia" w:hAnsiTheme="minorEastAsia" w:eastAsiaTheme="minorEastAsia"/>
                <w:color w:val="000000" w:themeColor="text1"/>
                <w:sz w:val="24"/>
                <w:lang w:val="en-US" w:eastAsia="zh-CN"/>
              </w:rPr>
              <w:t>3</w:t>
            </w:r>
            <w:r>
              <w:rPr>
                <w:rFonts w:hint="eastAsia" w:asciiTheme="minorEastAsia" w:hAnsiTheme="minorEastAsia" w:eastAsiaTheme="minorEastAsia"/>
                <w:color w:val="000000" w:themeColor="text1"/>
                <w:sz w:val="24"/>
              </w:rPr>
              <w:t>分；</w:t>
            </w:r>
          </w:p>
          <w:p>
            <w:pPr>
              <w:spacing w:line="280" w:lineRule="exac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产品选型较合理，功能配置和实用性符合项目需求得</w:t>
            </w:r>
            <w:r>
              <w:rPr>
                <w:rFonts w:hint="eastAsia" w:asciiTheme="minorEastAsia" w:hAnsiTheme="minorEastAsia" w:eastAsiaTheme="minorEastAsia"/>
                <w:color w:val="000000" w:themeColor="text1"/>
                <w:sz w:val="24"/>
                <w:lang w:val="en-US" w:eastAsia="zh-CN"/>
              </w:rPr>
              <w:t>2</w:t>
            </w:r>
            <w:r>
              <w:rPr>
                <w:rFonts w:hint="eastAsia" w:asciiTheme="minorEastAsia" w:hAnsiTheme="minorEastAsia" w:eastAsiaTheme="minorEastAsia"/>
                <w:color w:val="000000" w:themeColor="text1"/>
                <w:sz w:val="24"/>
              </w:rPr>
              <w:t>分；</w:t>
            </w:r>
          </w:p>
          <w:p>
            <w:pPr>
              <w:spacing w:line="280" w:lineRule="exact"/>
              <w:rPr>
                <w:rFonts w:hint="eastAsia" w:asciiTheme="minorEastAsia" w:hAnsiTheme="minorEastAsia" w:eastAsiaTheme="minorEastAsia"/>
                <w:color w:val="000000" w:themeColor="text1"/>
                <w:sz w:val="24"/>
                <w:lang w:val="en-US" w:eastAsia="zh-CN"/>
              </w:rPr>
            </w:pPr>
            <w:r>
              <w:rPr>
                <w:rFonts w:hint="eastAsia" w:asciiTheme="minorEastAsia" w:hAnsiTheme="minorEastAsia" w:eastAsiaTheme="minorEastAsia"/>
                <w:color w:val="000000" w:themeColor="text1"/>
                <w:sz w:val="24"/>
              </w:rPr>
              <w:t>3、产品选型部分符合或不符合项目需求得</w:t>
            </w:r>
            <w:r>
              <w:rPr>
                <w:rFonts w:hint="eastAsia" w:asciiTheme="minorEastAsia" w:hAnsiTheme="minorEastAsia" w:eastAsiaTheme="minorEastAsia"/>
                <w:color w:val="000000" w:themeColor="text1"/>
                <w:sz w:val="24"/>
                <w:lang w:val="en-US" w:eastAsia="zh-CN"/>
              </w:rPr>
              <w:t>1</w:t>
            </w:r>
            <w:r>
              <w:rPr>
                <w:rFonts w:hint="eastAsia" w:asciiTheme="minorEastAsia" w:hAnsiTheme="minorEastAsia" w:eastAsia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安装方案</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726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、安装方案合理、完整、方法得当，得</w:t>
            </w:r>
            <w:r>
              <w:rPr>
                <w:rFonts w:cs="宋体" w:asciiTheme="minorEastAsia" w:hAnsiTheme="minorEastAsia" w:eastAsiaTheme="minorEastAsia"/>
                <w:kern w:val="0"/>
                <w:sz w:val="24"/>
              </w:rPr>
              <w:t>4-5</w:t>
            </w:r>
            <w:r>
              <w:rPr>
                <w:rFonts w:hint="eastAsia" w:cs="宋体" w:asciiTheme="minorEastAsia" w:hAnsiTheme="minorEastAsia" w:eastAsiaTheme="minorEastAsia"/>
                <w:kern w:val="0"/>
                <w:sz w:val="24"/>
              </w:rPr>
              <w:t>分；</w:t>
            </w:r>
          </w:p>
          <w:p>
            <w:pPr>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、安装方案欠合理、欠完整、方案基本可行，得</w:t>
            </w:r>
            <w:r>
              <w:rPr>
                <w:rFonts w:cs="宋体" w:asciiTheme="minorEastAsia" w:hAnsiTheme="minorEastAsia" w:eastAsiaTheme="minorEastAsia"/>
                <w:kern w:val="0"/>
                <w:sz w:val="24"/>
              </w:rPr>
              <w:t>2-3</w:t>
            </w:r>
            <w:r>
              <w:rPr>
                <w:rFonts w:hint="eastAsia" w:cs="宋体" w:asciiTheme="minorEastAsia" w:hAnsiTheme="minorEastAsia" w:eastAsiaTheme="minorEastAsia"/>
                <w:kern w:val="0"/>
                <w:sz w:val="24"/>
              </w:rPr>
              <w:t>分；</w:t>
            </w:r>
          </w:p>
          <w:p>
            <w:pPr>
              <w:spacing w:line="280" w:lineRule="exac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、安装方案不合理、不完整、方案不可行，得</w:t>
            </w:r>
            <w:r>
              <w:rPr>
                <w:rFonts w:cs="宋体" w:asciiTheme="minorEastAsia" w:hAnsiTheme="minorEastAsia" w:eastAsiaTheme="minorEastAsia"/>
                <w:kern w:val="0"/>
                <w:sz w:val="24"/>
              </w:rPr>
              <w:t>0-1</w:t>
            </w:r>
            <w:r>
              <w:rPr>
                <w:rFonts w:hint="eastAsia" w:cs="宋体" w:asciiTheme="minorEastAsia" w:hAnsiTheme="minorEastAsia" w:eastAsiaTheme="minor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类似业绩</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asciiTheme="minorEastAsia" w:hAnsiTheme="minorEastAsia" w:eastAsiaTheme="minorEastAsia"/>
                <w:sz w:val="24"/>
              </w:rPr>
            </w:pPr>
            <w:r>
              <w:rPr>
                <w:rFonts w:hint="eastAsia" w:asciiTheme="minorEastAsia" w:hAnsiTheme="minorEastAsia" w:eastAsiaTheme="minorEastAsia"/>
                <w:sz w:val="24"/>
              </w:rPr>
              <w:t>提供近三年类似业绩的（以合同</w:t>
            </w:r>
            <w:r>
              <w:rPr>
                <w:rFonts w:hint="eastAsia" w:asciiTheme="minorEastAsia" w:hAnsiTheme="minorEastAsia" w:eastAsiaTheme="minorEastAsia"/>
                <w:sz w:val="24"/>
                <w:lang w:eastAsia="zh-CN"/>
              </w:rPr>
              <w:t>或</w:t>
            </w:r>
            <w:r>
              <w:rPr>
                <w:rFonts w:hint="eastAsia" w:asciiTheme="minorEastAsia" w:hAnsiTheme="minorEastAsia" w:eastAsiaTheme="minorEastAsia"/>
                <w:sz w:val="24"/>
              </w:rPr>
              <w:t>中标通知书</w:t>
            </w:r>
            <w:r>
              <w:rPr>
                <w:rFonts w:hint="eastAsia" w:asciiTheme="minorEastAsia" w:hAnsiTheme="minorEastAsia" w:eastAsiaTheme="minorEastAsia"/>
                <w:sz w:val="24"/>
                <w:lang w:eastAsia="zh-CN"/>
              </w:rPr>
              <w:t>复印件</w:t>
            </w:r>
            <w:r>
              <w:rPr>
                <w:rFonts w:hint="eastAsia" w:asciiTheme="minorEastAsia" w:hAnsiTheme="minorEastAsia" w:eastAsiaTheme="minorEastAsia"/>
                <w:sz w:val="24"/>
              </w:rPr>
              <w:t>为依据）进行评比；每提供一份得</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分，最多得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售</w:t>
            </w:r>
            <w:r>
              <w:rPr>
                <w:rFonts w:asciiTheme="minorEastAsia" w:hAnsiTheme="minorEastAsia" w:eastAsiaTheme="minorEastAsia"/>
                <w:sz w:val="24"/>
              </w:rPr>
              <w:t>后</w:t>
            </w:r>
            <w:r>
              <w:rPr>
                <w:rFonts w:hint="eastAsia" w:asciiTheme="minorEastAsia" w:hAnsiTheme="minorEastAsia" w:eastAsiaTheme="minorEastAsia"/>
                <w:sz w:val="24"/>
              </w:rPr>
              <w:t>服务</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分</w:t>
            </w:r>
          </w:p>
        </w:tc>
        <w:tc>
          <w:tcPr>
            <w:tcW w:w="72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heme="minorEastAsia" w:hAnsiTheme="minorEastAsia" w:eastAsiaTheme="minorEastAsia"/>
                <w:sz w:val="24"/>
              </w:rPr>
            </w:pPr>
            <w:r>
              <w:rPr>
                <w:rFonts w:hint="eastAsia" w:asciiTheme="minorEastAsia" w:hAnsiTheme="minorEastAsia" w:eastAsiaTheme="minorEastAsia"/>
                <w:sz w:val="24"/>
              </w:rPr>
              <w:t>1．有完备的售后服务体系、提</w:t>
            </w:r>
            <w:r>
              <w:rPr>
                <w:rFonts w:asciiTheme="minorEastAsia" w:hAnsiTheme="minorEastAsia" w:eastAsiaTheme="minorEastAsia"/>
                <w:sz w:val="24"/>
              </w:rPr>
              <w:t>供</w:t>
            </w:r>
            <w:r>
              <w:rPr>
                <w:rFonts w:hint="eastAsia" w:asciiTheme="minorEastAsia" w:hAnsiTheme="minorEastAsia" w:eastAsiaTheme="minorEastAsia"/>
                <w:sz w:val="24"/>
              </w:rPr>
              <w:t>服务网点分布情况及数量，得2分，</w:t>
            </w:r>
            <w:r>
              <w:rPr>
                <w:rFonts w:asciiTheme="minorEastAsia" w:hAnsiTheme="minorEastAsia" w:eastAsiaTheme="minorEastAsia"/>
                <w:sz w:val="24"/>
              </w:rPr>
              <w:t>没</w:t>
            </w:r>
            <w:r>
              <w:rPr>
                <w:rFonts w:hint="eastAsia" w:asciiTheme="minorEastAsia" w:hAnsiTheme="minorEastAsia" w:eastAsiaTheme="minorEastAsia"/>
                <w:sz w:val="24"/>
              </w:rPr>
              <w:t>有</w:t>
            </w:r>
            <w:r>
              <w:rPr>
                <w:rFonts w:asciiTheme="minorEastAsia" w:hAnsiTheme="minorEastAsia" w:eastAsiaTheme="minorEastAsia"/>
                <w:sz w:val="24"/>
              </w:rPr>
              <w:t>提供的</w:t>
            </w:r>
            <w:r>
              <w:rPr>
                <w:rFonts w:hint="eastAsia" w:asciiTheme="minorEastAsia" w:hAnsiTheme="minorEastAsia" w:eastAsiaTheme="minorEastAsia"/>
                <w:sz w:val="24"/>
              </w:rPr>
              <w:t>或</w:t>
            </w:r>
            <w:r>
              <w:rPr>
                <w:rFonts w:asciiTheme="minorEastAsia" w:hAnsiTheme="minorEastAsia" w:eastAsiaTheme="minorEastAsia"/>
                <w:sz w:val="24"/>
              </w:rPr>
              <w:t>不</w:t>
            </w:r>
            <w:r>
              <w:rPr>
                <w:rFonts w:hint="eastAsia" w:asciiTheme="minorEastAsia" w:hAnsiTheme="minorEastAsia" w:eastAsiaTheme="minorEastAsia"/>
                <w:sz w:val="24"/>
              </w:rPr>
              <w:t>够</w:t>
            </w:r>
            <w:r>
              <w:rPr>
                <w:rFonts w:asciiTheme="minorEastAsia" w:hAnsiTheme="minorEastAsia" w:eastAsiaTheme="minorEastAsia"/>
                <w:sz w:val="24"/>
              </w:rPr>
              <w:t>详细具体的得</w:t>
            </w:r>
            <w:r>
              <w:rPr>
                <w:rFonts w:hint="eastAsia" w:asciiTheme="minorEastAsia" w:hAnsiTheme="minorEastAsia" w:eastAsiaTheme="minorEastAsia"/>
                <w:sz w:val="24"/>
              </w:rPr>
              <w:t>0分。</w:t>
            </w:r>
          </w:p>
          <w:p>
            <w:pPr>
              <w:spacing w:line="280" w:lineRule="exact"/>
              <w:rPr>
                <w:rFonts w:asciiTheme="minorEastAsia" w:hAnsiTheme="minorEastAsia" w:eastAsiaTheme="minorEastAsia"/>
                <w:sz w:val="24"/>
              </w:rPr>
            </w:pPr>
            <w:r>
              <w:rPr>
                <w:rFonts w:hint="eastAsia" w:asciiTheme="minorEastAsia" w:hAnsiTheme="minorEastAsia" w:eastAsiaTheme="minorEastAsia"/>
                <w:sz w:val="24"/>
              </w:rPr>
              <w:t>2．有针对性强的人员培训方案及售后服务方案，得2分，</w:t>
            </w:r>
            <w:r>
              <w:rPr>
                <w:rFonts w:asciiTheme="minorEastAsia" w:hAnsiTheme="minorEastAsia" w:eastAsiaTheme="minorEastAsia"/>
                <w:sz w:val="24"/>
              </w:rPr>
              <w:t>没</w:t>
            </w:r>
            <w:r>
              <w:rPr>
                <w:rFonts w:hint="eastAsia" w:asciiTheme="minorEastAsia" w:hAnsiTheme="minorEastAsia" w:eastAsiaTheme="minorEastAsia"/>
                <w:sz w:val="24"/>
              </w:rPr>
              <w:t>有</w:t>
            </w:r>
            <w:r>
              <w:rPr>
                <w:rFonts w:asciiTheme="minorEastAsia" w:hAnsiTheme="minorEastAsia" w:eastAsiaTheme="minorEastAsia"/>
                <w:sz w:val="24"/>
              </w:rPr>
              <w:t>提供的</w:t>
            </w:r>
            <w:r>
              <w:rPr>
                <w:rFonts w:hint="eastAsia" w:asciiTheme="minorEastAsia" w:hAnsiTheme="minorEastAsia" w:eastAsiaTheme="minorEastAsia"/>
                <w:sz w:val="24"/>
              </w:rPr>
              <w:t>或</w:t>
            </w:r>
            <w:r>
              <w:rPr>
                <w:rFonts w:asciiTheme="minorEastAsia" w:hAnsiTheme="minorEastAsia" w:eastAsiaTheme="minorEastAsia"/>
                <w:sz w:val="24"/>
              </w:rPr>
              <w:t>不</w:t>
            </w:r>
            <w:r>
              <w:rPr>
                <w:rFonts w:hint="eastAsia" w:asciiTheme="minorEastAsia" w:hAnsiTheme="minorEastAsia" w:eastAsiaTheme="minorEastAsia"/>
                <w:sz w:val="24"/>
              </w:rPr>
              <w:t>够</w:t>
            </w:r>
            <w:r>
              <w:rPr>
                <w:rFonts w:asciiTheme="minorEastAsia" w:hAnsiTheme="minorEastAsia" w:eastAsiaTheme="minorEastAsia"/>
                <w:sz w:val="24"/>
              </w:rPr>
              <w:t>详细具体的得</w:t>
            </w:r>
            <w:r>
              <w:rPr>
                <w:rFonts w:hint="eastAsia" w:asciiTheme="minorEastAsia" w:hAnsiTheme="minorEastAsia" w:eastAsiaTheme="minorEastAsia"/>
                <w:sz w:val="24"/>
              </w:rPr>
              <w:t>0分。</w:t>
            </w:r>
          </w:p>
          <w:p>
            <w:pPr>
              <w:spacing w:line="280" w:lineRule="exac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提</w:t>
            </w:r>
            <w:r>
              <w:rPr>
                <w:rFonts w:asciiTheme="minorEastAsia" w:hAnsiTheme="minorEastAsia" w:eastAsiaTheme="minorEastAsia"/>
                <w:sz w:val="24"/>
              </w:rPr>
              <w:t>供</w:t>
            </w:r>
            <w:r>
              <w:rPr>
                <w:rFonts w:hint="eastAsia" w:asciiTheme="minorEastAsia" w:hAnsiTheme="minorEastAsia" w:eastAsiaTheme="minorEastAsia"/>
                <w:sz w:val="24"/>
              </w:rPr>
              <w:t>了</w:t>
            </w:r>
            <w:r>
              <w:rPr>
                <w:rFonts w:asciiTheme="minorEastAsia" w:hAnsiTheme="minorEastAsia" w:eastAsiaTheme="minorEastAsia"/>
                <w:sz w:val="24"/>
              </w:rPr>
              <w:t>可行性紧急应对方案的</w:t>
            </w:r>
            <w:r>
              <w:rPr>
                <w:rFonts w:hint="eastAsia" w:asciiTheme="minorEastAsia" w:hAnsiTheme="minorEastAsia" w:eastAsiaTheme="minorEastAsia"/>
                <w:sz w:val="24"/>
              </w:rPr>
              <w:t>1分</w:t>
            </w:r>
            <w:r>
              <w:rPr>
                <w:rFonts w:asciiTheme="minorEastAsia" w:hAnsiTheme="minorEastAsia" w:eastAsiaTheme="minorEastAsia"/>
                <w:sz w:val="24"/>
              </w:rPr>
              <w:t>，没</w:t>
            </w:r>
            <w:r>
              <w:rPr>
                <w:rFonts w:hint="eastAsia" w:asciiTheme="minorEastAsia" w:hAnsiTheme="minorEastAsia" w:eastAsiaTheme="minorEastAsia"/>
                <w:sz w:val="24"/>
              </w:rPr>
              <w:t>有</w:t>
            </w:r>
            <w:r>
              <w:rPr>
                <w:rFonts w:asciiTheme="minorEastAsia" w:hAnsiTheme="minorEastAsia" w:eastAsiaTheme="minorEastAsia"/>
                <w:sz w:val="24"/>
              </w:rPr>
              <w:t>提供的</w:t>
            </w:r>
            <w:r>
              <w:rPr>
                <w:rFonts w:hint="eastAsia" w:asciiTheme="minorEastAsia" w:hAnsiTheme="minorEastAsia" w:eastAsiaTheme="minorEastAsia"/>
                <w:sz w:val="24"/>
              </w:rPr>
              <w:t>或</w:t>
            </w:r>
            <w:r>
              <w:rPr>
                <w:rFonts w:asciiTheme="minorEastAsia" w:hAnsiTheme="minorEastAsia" w:eastAsiaTheme="minorEastAsia"/>
                <w:sz w:val="24"/>
              </w:rPr>
              <w:t>不</w:t>
            </w:r>
            <w:r>
              <w:rPr>
                <w:rFonts w:hint="eastAsia" w:asciiTheme="minorEastAsia" w:hAnsiTheme="minorEastAsia" w:eastAsiaTheme="minorEastAsia"/>
                <w:sz w:val="24"/>
              </w:rPr>
              <w:t>够</w:t>
            </w:r>
            <w:r>
              <w:rPr>
                <w:rFonts w:asciiTheme="minorEastAsia" w:hAnsiTheme="minorEastAsia" w:eastAsiaTheme="minorEastAsia"/>
                <w:sz w:val="24"/>
              </w:rPr>
              <w:t>详细具体的得</w:t>
            </w:r>
            <w:r>
              <w:rPr>
                <w:rFonts w:hint="eastAsia" w:asciiTheme="minorEastAsia" w:hAnsiTheme="minorEastAsia" w:eastAsiaTheme="minorEastAsia"/>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质保期</w:t>
            </w:r>
          </w:p>
        </w:tc>
        <w:tc>
          <w:tcPr>
            <w:tcW w:w="106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4分</w:t>
            </w:r>
          </w:p>
        </w:tc>
        <w:tc>
          <w:tcPr>
            <w:tcW w:w="7267"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质保期满足招标文件要求，每增加一年加</w:t>
            </w: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分，最多得</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sz w:val="24"/>
              </w:rPr>
            </w:pPr>
            <w:r>
              <w:rPr>
                <w:rFonts w:hint="eastAsia" w:asciiTheme="minorEastAsia" w:hAnsiTheme="minorEastAsia" w:eastAsiaTheme="minorEastAsia"/>
                <w:sz w:val="24"/>
              </w:rPr>
              <w:t>总分</w:t>
            </w:r>
          </w:p>
        </w:tc>
        <w:tc>
          <w:tcPr>
            <w:tcW w:w="83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r>
              <w:rPr>
                <w:rFonts w:hint="eastAsia" w:asciiTheme="minorEastAsia" w:hAnsiTheme="minorEastAsia" w:eastAsiaTheme="minorEastAsia"/>
                <w:sz w:val="24"/>
              </w:rPr>
              <w:t>100分</w:t>
            </w:r>
          </w:p>
        </w:tc>
      </w:tr>
    </w:tbl>
    <w:p>
      <w:pPr>
        <w:pStyle w:val="7"/>
        <w:rPr>
          <w:rFonts w:hAnsi="宋体"/>
          <w:sz w:val="24"/>
          <w:szCs w:val="24"/>
        </w:rPr>
      </w:pPr>
    </w:p>
    <w:p>
      <w:pPr>
        <w:rPr>
          <w:rFonts w:hint="eastAsia"/>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rPr>
      </w:pPr>
    </w:p>
    <w:p>
      <w:pPr>
        <w:pStyle w:val="2"/>
        <w:rPr>
          <w:rFonts w:hint="eastAsia"/>
        </w:rPr>
      </w:pPr>
    </w:p>
    <w:p>
      <w:pPr>
        <w:rPr>
          <w:rFonts w:hint="eastAsia"/>
        </w:rPr>
      </w:pPr>
    </w:p>
    <w:p>
      <w:pPr>
        <w:pStyle w:val="2"/>
        <w:rPr>
          <w:rFonts w:hint="eastAsia"/>
        </w:rPr>
      </w:pPr>
      <w:bookmarkStart w:id="114" w:name="_GoBack"/>
      <w:bookmarkEnd w:id="114"/>
    </w:p>
    <w:p>
      <w:pPr>
        <w:pStyle w:val="13"/>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经皮黄疸仪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1"/>
              </w:numP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val="en-US" w:eastAsia="zh-CN"/>
              </w:rPr>
              <w:t>光源：</w:t>
            </w:r>
            <w:r>
              <w:rPr>
                <w:rFonts w:hint="eastAsia" w:ascii="宋体" w:hAnsi="宋体" w:cs="宋体"/>
                <w:i w:val="0"/>
                <w:color w:val="000000"/>
                <w:sz w:val="22"/>
                <w:szCs w:val="22"/>
                <w:u w:val="none"/>
                <w:lang w:eastAsia="zh-CN"/>
              </w:rPr>
              <w:t>脉冲氙弧灯；</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重量：</w:t>
            </w:r>
            <w:r>
              <w:rPr>
                <w:rFonts w:hint="eastAsia" w:ascii="宋体" w:hAnsi="宋体" w:cs="宋体"/>
                <w:i w:val="0"/>
                <w:color w:val="000000"/>
                <w:sz w:val="22"/>
                <w:szCs w:val="22"/>
                <w:u w:val="none"/>
                <w:lang w:eastAsia="zh-CN"/>
              </w:rPr>
              <w:t>重量小于等于</w:t>
            </w:r>
            <w:r>
              <w:rPr>
                <w:rFonts w:hint="eastAsia" w:ascii="宋体" w:hAnsi="宋体" w:cs="宋体"/>
                <w:i w:val="0"/>
                <w:color w:val="000000"/>
                <w:sz w:val="22"/>
                <w:szCs w:val="22"/>
                <w:u w:val="none"/>
                <w:lang w:val="en-US" w:eastAsia="zh-CN"/>
              </w:rPr>
              <w:t>150克（包括内置电池）；</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耗材：</w:t>
            </w:r>
            <w:r>
              <w:rPr>
                <w:rFonts w:hint="eastAsia" w:ascii="宋体" w:hAnsi="宋体" w:cs="宋体"/>
                <w:i w:val="0"/>
                <w:color w:val="000000"/>
                <w:sz w:val="22"/>
                <w:szCs w:val="22"/>
                <w:u w:val="none"/>
                <w:lang w:eastAsia="zh-CN"/>
              </w:rPr>
              <w:t>无需一次性耗材，无需用户校准；</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电池：内置电池，</w:t>
            </w:r>
            <w:r>
              <w:rPr>
                <w:rFonts w:hint="eastAsia" w:ascii="宋体" w:hAnsi="宋体" w:cs="宋体"/>
                <w:i w:val="0"/>
                <w:color w:val="000000"/>
                <w:sz w:val="22"/>
                <w:szCs w:val="22"/>
                <w:u w:val="none"/>
                <w:lang w:eastAsia="zh-CN"/>
              </w:rPr>
              <w:t>可充电，充满电至少可测量</w:t>
            </w:r>
            <w:r>
              <w:rPr>
                <w:rFonts w:hint="default" w:ascii="Arial" w:hAnsi="Arial" w:cs="Arial"/>
                <w:i w:val="0"/>
                <w:color w:val="000000"/>
                <w:sz w:val="22"/>
                <w:szCs w:val="22"/>
                <w:u w:val="none"/>
                <w:lang w:eastAsia="zh-CN"/>
              </w:rPr>
              <w:t>≥</w:t>
            </w:r>
            <w:r>
              <w:rPr>
                <w:rFonts w:hint="eastAsia" w:ascii="宋体" w:hAnsi="宋体" w:cs="宋体"/>
                <w:i w:val="0"/>
                <w:color w:val="000000"/>
                <w:sz w:val="22"/>
                <w:szCs w:val="22"/>
                <w:u w:val="none"/>
                <w:lang w:val="en-US" w:eastAsia="zh-CN"/>
              </w:rPr>
              <w:t>400次；</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精确度：</w:t>
            </w:r>
            <w:r>
              <w:rPr>
                <w:rFonts w:hint="eastAsia" w:ascii="宋体" w:hAnsi="宋体" w:cs="宋体"/>
                <w:i w:val="0"/>
                <w:color w:val="000000"/>
                <w:sz w:val="22"/>
                <w:szCs w:val="22"/>
                <w:u w:val="none"/>
                <w:lang w:eastAsia="zh-CN"/>
              </w:rPr>
              <w:t>误差范围小于</w:t>
            </w:r>
            <w:r>
              <w:rPr>
                <w:rFonts w:hint="eastAsia" w:ascii="宋体" w:hAnsi="宋体" w:cs="宋体"/>
                <w:i w:val="0"/>
                <w:color w:val="000000"/>
                <w:sz w:val="22"/>
                <w:szCs w:val="22"/>
                <w:u w:val="none"/>
                <w:lang w:val="en-US" w:eastAsia="zh-CN"/>
              </w:rPr>
              <w:t>1.5mg/dl或25.5umol/L；</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测量范围：0.0～25.0mg/dL或0～425umol/L；</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单位：两种单位，分别为Mg/dL,moL/L；</w:t>
            </w:r>
          </w:p>
          <w:p>
            <w:pPr>
              <w:numPr>
                <w:ilvl w:val="0"/>
                <w:numId w:val="1"/>
              </w:numP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结果读取：直接读取血清总胆红素值。</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质保≥3年；现场安装、培训；如遇故障2小时响应，24小时到达现场维修，如维修时间超出7天，提供备用机使用。</w:t>
            </w:r>
          </w:p>
          <w:p>
            <w:pPr>
              <w:rPr>
                <w:rFonts w:hint="eastAsia" w:ascii="宋体" w:hAnsi="宋体" w:cs="宋体"/>
                <w:i w:val="0"/>
                <w:color w:val="000000"/>
                <w:kern w:val="0"/>
                <w:sz w:val="22"/>
                <w:szCs w:val="22"/>
                <w:u w:val="none"/>
                <w:lang w:val="en-US" w:eastAsia="zh-CN" w:bidi="ar"/>
              </w:rPr>
            </w:pPr>
          </w:p>
        </w:tc>
      </w:tr>
    </w:tbl>
    <w:p>
      <w:pPr>
        <w:spacing w:line="56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3"/>
        <w:rPr>
          <w:rFonts w:hint="eastAsia" w:ascii="宋体" w:hAnsi="宋体" w:cs="宋体"/>
          <w:color w:val="auto"/>
          <w:highlight w:val="none"/>
        </w:rPr>
      </w:pPr>
      <w:bookmarkStart w:id="39" w:name="_Toc528493169"/>
      <w:bookmarkStart w:id="40" w:name="_Toc528493136"/>
      <w:bookmarkStart w:id="41" w:name="_Toc23718"/>
      <w:bookmarkStart w:id="42" w:name="_Toc528493088"/>
      <w:bookmarkStart w:id="43" w:name="_Toc528493581"/>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3640" w:firstLineChars="13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三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spacing w:line="500" w:lineRule="exact"/>
        <w:jc w:val="center"/>
        <w:rPr>
          <w:rFonts w:hint="eastAsia" w:ascii="宋体" w:hAnsi="宋体" w:cs="宋体"/>
          <w:color w:val="auto"/>
          <w:sz w:val="24"/>
          <w:highlight w:val="none"/>
        </w:rPr>
      </w:pPr>
    </w:p>
    <w:p>
      <w:pPr>
        <w:adjustRightInd w:val="0"/>
        <w:snapToGrid w:val="0"/>
        <w:spacing w:line="5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采购项目编号：</w:t>
      </w:r>
      <w:r>
        <w:rPr>
          <w:rFonts w:hint="eastAsia" w:cs="宋体"/>
          <w:color w:val="auto"/>
          <w:szCs w:val="24"/>
          <w:highlight w:val="none"/>
          <w:u w:val="single"/>
        </w:rPr>
        <w:t xml:space="preserve">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480" w:firstLine="6120" w:firstLineChars="255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adjustRightInd w:val="0"/>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593"/>
            <w:bookmarkStart w:id="101" w:name="_Toc528493148"/>
            <w:bookmarkStart w:id="102" w:name="_Toc528493181"/>
            <w:bookmarkStart w:id="103" w:name="_Toc528494299"/>
            <w:bookmarkStart w:id="104" w:name="_Toc11977"/>
            <w:bookmarkStart w:id="105" w:name="_Toc528493100"/>
            <w:bookmarkStart w:id="106" w:name="_Toc528493937"/>
            <w:r>
              <w:rPr>
                <w:rFonts w:hint="eastAsia" w:ascii="宋体" w:hAnsi="宋体" w:cs="宋体"/>
                <w:color w:val="auto"/>
                <w:sz w:val="24"/>
                <w:highlight w:val="none"/>
              </w:rPr>
              <w:t>4</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7" w:name="_Toc528493149"/>
            <w:bookmarkStart w:id="108" w:name="_Toc528493101"/>
            <w:bookmarkStart w:id="109" w:name="_Toc528493594"/>
            <w:bookmarkStart w:id="110" w:name="_Toc528493182"/>
            <w:bookmarkStart w:id="111" w:name="_Toc528494300"/>
            <w:bookmarkStart w:id="112" w:name="_Toc12286"/>
            <w:bookmarkStart w:id="113" w:name="_Toc528493938"/>
            <w:r>
              <w:rPr>
                <w:rFonts w:hint="eastAsia" w:ascii="宋体" w:hAnsi="宋体" w:cs="宋体"/>
                <w:color w:val="auto"/>
                <w:sz w:val="24"/>
                <w:highlight w:val="none"/>
              </w:rPr>
              <w:t>…</w:t>
            </w:r>
            <w:bookmarkEnd w:id="107"/>
            <w:bookmarkEnd w:id="108"/>
            <w:bookmarkEnd w:id="109"/>
            <w:bookmarkEnd w:id="110"/>
            <w:bookmarkEnd w:id="111"/>
            <w:bookmarkEnd w:id="112"/>
            <w:bookmarkEnd w:id="113"/>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ind w:left="748" w:hanging="748"/>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rPr>
          <w:rFonts w:hint="eastAsia" w:cs="宋体"/>
          <w:color w:val="auto"/>
          <w:highlight w:val="none"/>
        </w:rPr>
      </w:pPr>
    </w:p>
    <w:p>
      <w:pPr>
        <w:pStyle w:val="6"/>
        <w:rPr>
          <w:rFonts w:hint="eastAsia" w:cs="宋体"/>
          <w:color w:val="auto"/>
          <w:highlight w:val="none"/>
        </w:rPr>
      </w:pPr>
    </w:p>
    <w:p>
      <w:pPr>
        <w:adjustRightInd w:val="0"/>
        <w:snapToGrid w:val="0"/>
        <w:spacing w:line="500" w:lineRule="exact"/>
        <w:ind w:firstLine="720" w:firstLineChars="300"/>
        <w:jc w:val="center"/>
        <w:rPr>
          <w:rFonts w:hint="eastAsia" w:ascii="宋体" w:hAnsi="宋体" w:cs="宋体"/>
          <w:color w:val="auto"/>
          <w:sz w:val="24"/>
          <w:highlight w:val="none"/>
          <w:u w:val="single"/>
        </w:rPr>
      </w:pPr>
      <w:r>
        <w:rPr>
          <w:rFonts w:hint="eastAsia" w:ascii="宋体" w:hAnsi="宋体" w:cs="宋体"/>
          <w:color w:val="auto"/>
          <w:sz w:val="24"/>
          <w:szCs w:val="22"/>
          <w:highlight w:val="none"/>
        </w:rPr>
        <w:t xml:space="preserve">                                  法人授权代表：</w:t>
      </w:r>
      <w:r>
        <w:rPr>
          <w:rFonts w:hint="eastAsia" w:ascii="宋体" w:hAnsi="宋体" w:cs="宋体"/>
          <w:color w:val="auto"/>
          <w:sz w:val="24"/>
          <w:szCs w:val="22"/>
          <w:highlight w:val="none"/>
          <w:u w:val="single"/>
        </w:rPr>
        <w:t xml:space="preserve">（签字）  </w:t>
      </w:r>
    </w:p>
    <w:p>
      <w:pPr>
        <w:adjustRightInd w:val="0"/>
        <w:snapToGrid w:val="0"/>
        <w:spacing w:line="500" w:lineRule="exact"/>
        <w:ind w:right="560"/>
        <w:jc w:val="right"/>
        <w:rPr>
          <w:rFonts w:hint="eastAsia" w:ascii="宋体" w:hAnsi="宋体" w:cs="宋体"/>
          <w:color w:val="auto"/>
          <w:sz w:val="28"/>
          <w:szCs w:val="28"/>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jc w:val="righ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授权单位（签章）：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500" w:lineRule="exact"/>
        <w:rPr>
          <w:rFonts w:hint="eastAsia" w:ascii="宋体" w:hAnsi="宋体" w:cs="宋体"/>
          <w:color w:val="auto"/>
          <w:sz w:val="24"/>
          <w:szCs w:val="24"/>
          <w:highlight w:val="none"/>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附：代理人工作单位：</w:t>
      </w:r>
      <w:r>
        <w:rPr>
          <w:rFonts w:hint="eastAsia" w:ascii="宋体" w:hAnsi="宋体" w:cs="宋体"/>
          <w:color w:val="auto"/>
          <w:sz w:val="24"/>
          <w:szCs w:val="24"/>
          <w:highlight w:val="none"/>
          <w:u w:val="single"/>
        </w:rPr>
        <w:t xml:space="preserve">                     </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pPr>
        <w:adjustRightInd w:val="0"/>
        <w:snapToGrid w:val="0"/>
        <w:spacing w:line="500" w:lineRule="exact"/>
        <w:ind w:left="-88" w:leftChars="-42"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法定代表人身份证（复印件）</w:t>
      </w: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被授权代表身份证（复印件）</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提供三证合一营业执照等证明文件；供应商法定代表人授权代表委托书。</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
    <w:nsid w:val="3FB8375A"/>
    <w:multiLevelType w:val="singleLevel"/>
    <w:tmpl w:val="3FB8375A"/>
    <w:lvl w:ilvl="0" w:tentative="0">
      <w:start w:val="1"/>
      <w:numFmt w:val="decimal"/>
      <w:suff w:val="nothing"/>
      <w:lvlText w:val="%1、"/>
      <w:lvlJc w:val="left"/>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80114A3"/>
    <w:rsid w:val="0FDB5204"/>
    <w:rsid w:val="0FFD1525"/>
    <w:rsid w:val="11BF031F"/>
    <w:rsid w:val="14A44C54"/>
    <w:rsid w:val="164E3296"/>
    <w:rsid w:val="18D655C1"/>
    <w:rsid w:val="19A8778E"/>
    <w:rsid w:val="19B5718D"/>
    <w:rsid w:val="1A4B672E"/>
    <w:rsid w:val="1C5E3C65"/>
    <w:rsid w:val="1DD75E51"/>
    <w:rsid w:val="2050519F"/>
    <w:rsid w:val="29206C33"/>
    <w:rsid w:val="29B528D3"/>
    <w:rsid w:val="29C779B7"/>
    <w:rsid w:val="29E32F07"/>
    <w:rsid w:val="2E7B5E33"/>
    <w:rsid w:val="315E3248"/>
    <w:rsid w:val="32791E67"/>
    <w:rsid w:val="32AB65C9"/>
    <w:rsid w:val="33632D6F"/>
    <w:rsid w:val="34771EDC"/>
    <w:rsid w:val="349156AF"/>
    <w:rsid w:val="43927C81"/>
    <w:rsid w:val="444F1683"/>
    <w:rsid w:val="445760DF"/>
    <w:rsid w:val="44AC4AE9"/>
    <w:rsid w:val="45940BE3"/>
    <w:rsid w:val="4B9C1030"/>
    <w:rsid w:val="4C667855"/>
    <w:rsid w:val="4F865F47"/>
    <w:rsid w:val="4FAF7B48"/>
    <w:rsid w:val="512F569D"/>
    <w:rsid w:val="53BA4BE4"/>
    <w:rsid w:val="54B24A6E"/>
    <w:rsid w:val="56DF0B86"/>
    <w:rsid w:val="58EE244C"/>
    <w:rsid w:val="5C1C7E73"/>
    <w:rsid w:val="60EB55DA"/>
    <w:rsid w:val="61807E6A"/>
    <w:rsid w:val="61BE3442"/>
    <w:rsid w:val="65703F7D"/>
    <w:rsid w:val="666979DA"/>
    <w:rsid w:val="675B110D"/>
    <w:rsid w:val="68442A0A"/>
    <w:rsid w:val="692D1312"/>
    <w:rsid w:val="69EE499A"/>
    <w:rsid w:val="6AC03A33"/>
    <w:rsid w:val="6ADE17B1"/>
    <w:rsid w:val="6BBC104F"/>
    <w:rsid w:val="6E6E3EF2"/>
    <w:rsid w:val="6F2654D8"/>
    <w:rsid w:val="6FFD4587"/>
    <w:rsid w:val="73555DAC"/>
    <w:rsid w:val="73EB54D8"/>
    <w:rsid w:val="750E5531"/>
    <w:rsid w:val="764F0B5A"/>
    <w:rsid w:val="76994FB4"/>
    <w:rsid w:val="77662248"/>
    <w:rsid w:val="7AEF68D3"/>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1"/>
    <w:semiHidden/>
    <w:unhideWhenUsed/>
    <w:qFormat/>
    <w:uiPriority w:val="99"/>
    <w:pPr>
      <w:spacing w:after="120"/>
      <w:ind w:left="420" w:leftChars="200"/>
    </w:pPr>
  </w:style>
  <w:style w:type="paragraph" w:styleId="6">
    <w:name w:val="Body Text First Indent 2"/>
    <w:basedOn w:val="5"/>
    <w:link w:val="22"/>
    <w:qFormat/>
    <w:uiPriority w:val="0"/>
    <w:pPr>
      <w:tabs>
        <w:tab w:val="left" w:pos="720"/>
      </w:tabs>
      <w:ind w:firstLine="420" w:firstLineChars="200"/>
    </w:pPr>
    <w:rPr>
      <w:rFonts w:ascii="宋体" w:hAnsi="宋体"/>
      <w:color w:val="000000"/>
    </w:rPr>
  </w:style>
  <w:style w:type="paragraph" w:styleId="7">
    <w:name w:val="Plain Text"/>
    <w:basedOn w:val="1"/>
    <w:link w:val="20"/>
    <w:qFormat/>
    <w:uiPriority w:val="99"/>
    <w:rPr>
      <w:rFonts w:ascii="宋体" w:hAnsi="Courier New" w:cstheme="minorBidi"/>
      <w:szCs w:val="22"/>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19"/>
    <w:qFormat/>
    <w:uiPriority w:val="0"/>
    <w:pPr>
      <w:spacing w:before="240" w:after="60"/>
      <w:jc w:val="center"/>
      <w:outlineLvl w:val="0"/>
    </w:pPr>
    <w:rPr>
      <w:rFonts w:ascii="Cambria" w:hAnsi="Cambria" w:eastAsiaTheme="minorEastAsia"/>
      <w:b/>
      <w:bCs/>
      <w:sz w:val="32"/>
      <w:szCs w:val="32"/>
    </w:rPr>
  </w:style>
  <w:style w:type="character" w:customStyle="1" w:styleId="16">
    <w:name w:val="页眉 字符"/>
    <w:basedOn w:val="15"/>
    <w:link w:val="9"/>
    <w:qFormat/>
    <w:uiPriority w:val="0"/>
    <w:rPr>
      <w:sz w:val="18"/>
      <w:szCs w:val="18"/>
    </w:rPr>
  </w:style>
  <w:style w:type="character" w:customStyle="1" w:styleId="17">
    <w:name w:val="页脚 字符"/>
    <w:basedOn w:val="15"/>
    <w:link w:val="8"/>
    <w:qFormat/>
    <w:uiPriority w:val="0"/>
    <w:rPr>
      <w:sz w:val="18"/>
      <w:szCs w:val="18"/>
    </w:rPr>
  </w:style>
  <w:style w:type="character" w:customStyle="1" w:styleId="18">
    <w:name w:val="副标题 字符"/>
    <w:link w:val="10"/>
    <w:qFormat/>
    <w:uiPriority w:val="0"/>
    <w:rPr>
      <w:rFonts w:ascii="Cambria" w:hAnsi="Cambria" w:cs="Times New Roman"/>
      <w:b/>
      <w:bCs/>
      <w:kern w:val="28"/>
      <w:sz w:val="32"/>
      <w:szCs w:val="32"/>
    </w:rPr>
  </w:style>
  <w:style w:type="character" w:customStyle="1" w:styleId="19">
    <w:name w:val="标题 字符"/>
    <w:link w:val="13"/>
    <w:qFormat/>
    <w:uiPriority w:val="0"/>
    <w:rPr>
      <w:rFonts w:ascii="Cambria" w:hAnsi="Cambria" w:cs="Times New Roman"/>
      <w:b/>
      <w:bCs/>
      <w:sz w:val="32"/>
      <w:szCs w:val="32"/>
    </w:rPr>
  </w:style>
  <w:style w:type="character" w:customStyle="1" w:styleId="20">
    <w:name w:val="纯文本 字符"/>
    <w:link w:val="7"/>
    <w:qFormat/>
    <w:locked/>
    <w:uiPriority w:val="99"/>
    <w:rPr>
      <w:rFonts w:ascii="宋体" w:hAnsi="Courier New" w:eastAsia="宋体"/>
    </w:rPr>
  </w:style>
  <w:style w:type="character" w:customStyle="1" w:styleId="21">
    <w:name w:val="正文文本缩进 字符"/>
    <w:basedOn w:val="15"/>
    <w:link w:val="5"/>
    <w:semiHidden/>
    <w:qFormat/>
    <w:uiPriority w:val="99"/>
    <w:rPr>
      <w:rFonts w:ascii="Times New Roman" w:hAnsi="Times New Roman" w:eastAsia="宋体" w:cs="Times New Roman"/>
      <w:szCs w:val="20"/>
    </w:rPr>
  </w:style>
  <w:style w:type="character" w:customStyle="1" w:styleId="22">
    <w:name w:val="正文文本首行缩进 2 字符"/>
    <w:basedOn w:val="21"/>
    <w:link w:val="6"/>
    <w:qFormat/>
    <w:uiPriority w:val="0"/>
    <w:rPr>
      <w:rFonts w:ascii="宋体" w:hAnsi="宋体" w:eastAsia="宋体" w:cs="Times New Roman"/>
      <w:color w:val="000000"/>
      <w:szCs w:val="20"/>
    </w:rPr>
  </w:style>
  <w:style w:type="character" w:customStyle="1" w:styleId="23">
    <w:name w:val="副标题 字符1"/>
    <w:basedOn w:val="15"/>
    <w:qFormat/>
    <w:uiPriority w:val="11"/>
    <w:rPr>
      <w:b/>
      <w:bCs/>
      <w:kern w:val="28"/>
      <w:sz w:val="32"/>
      <w:szCs w:val="32"/>
    </w:rPr>
  </w:style>
  <w:style w:type="character" w:customStyle="1" w:styleId="24">
    <w:name w:val="标题 字符1"/>
    <w:basedOn w:val="15"/>
    <w:qFormat/>
    <w:uiPriority w:val="10"/>
    <w:rPr>
      <w:rFonts w:asciiTheme="majorHAnsi" w:hAnsiTheme="majorHAnsi" w:eastAsiaTheme="majorEastAsia" w:cstheme="majorBidi"/>
      <w:b/>
      <w:bCs/>
      <w:sz w:val="32"/>
      <w:szCs w:val="32"/>
    </w:rPr>
  </w:style>
  <w:style w:type="character" w:customStyle="1" w:styleId="25">
    <w:name w:val="纯文本 字符1"/>
    <w:basedOn w:val="15"/>
    <w:semiHidden/>
    <w:qFormat/>
    <w:uiPriority w:val="99"/>
    <w:rPr>
      <w:rFonts w:hAnsi="Courier New" w:cs="Courier New" w:asciiTheme="minorEastAsia"/>
      <w:szCs w:val="20"/>
    </w:rPr>
  </w:style>
  <w:style w:type="character" w:customStyle="1" w:styleId="26">
    <w:name w:val="标题 1 字符"/>
    <w:basedOn w:val="15"/>
    <w:link w:val="3"/>
    <w:qFormat/>
    <w:uiPriority w:val="9"/>
    <w:rPr>
      <w:rFonts w:ascii="Times New Roman" w:hAnsi="Times New Roman" w:eastAsia="宋体" w:cs="Times New Roman"/>
      <w:b/>
      <w:bCs/>
      <w:kern w:val="44"/>
      <w:sz w:val="44"/>
      <w:szCs w:val="44"/>
    </w:rPr>
  </w:style>
  <w:style w:type="paragraph" w:customStyle="1" w:styleId="2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3</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2021-08-16T09:22:52Z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