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44"/>
        </w:rPr>
      </w:pPr>
    </w:p>
    <w:p>
      <w:pPr>
        <w:pStyle w:val="6"/>
        <w:tabs>
          <w:tab w:val="left" w:pos="2520"/>
        </w:tabs>
        <w:spacing w:line="500" w:lineRule="exact"/>
        <w:rPr>
          <w:rFonts w:hAnsi="宋体" w:cs="宋体"/>
          <w:sz w:val="28"/>
          <w:szCs w:val="28"/>
        </w:rPr>
      </w:pPr>
    </w:p>
    <w:p>
      <w:pPr>
        <w:pStyle w:val="6"/>
        <w:tabs>
          <w:tab w:val="left" w:pos="2520"/>
        </w:tabs>
        <w:spacing w:line="500" w:lineRule="exact"/>
        <w:jc w:val="center"/>
        <w:rPr>
          <w:rFonts w:hAnsi="宋体" w:cs="宋体"/>
          <w:spacing w:val="14"/>
          <w:sz w:val="48"/>
          <w:szCs w:val="48"/>
        </w:rPr>
      </w:pPr>
    </w:p>
    <w:p>
      <w:pPr>
        <w:pStyle w:val="6"/>
        <w:tabs>
          <w:tab w:val="left" w:pos="2520"/>
        </w:tabs>
        <w:spacing w:line="900" w:lineRule="exact"/>
        <w:jc w:val="center"/>
        <w:rPr>
          <w:rFonts w:hAnsi="宋体" w:cs="宋体"/>
          <w:b/>
          <w:sz w:val="84"/>
          <w:szCs w:val="84"/>
        </w:rPr>
      </w:pPr>
      <w:r>
        <w:rPr>
          <w:rFonts w:hint="eastAsia" w:hAnsi="宋体" w:cs="宋体"/>
          <w:b/>
          <w:sz w:val="84"/>
          <w:szCs w:val="84"/>
        </w:rPr>
        <w:t>竞争性磋商文件</w:t>
      </w:r>
    </w:p>
    <w:p>
      <w:pPr>
        <w:pStyle w:val="6"/>
        <w:tabs>
          <w:tab w:val="left" w:pos="2520"/>
        </w:tabs>
        <w:spacing w:line="500" w:lineRule="exact"/>
        <w:jc w:val="center"/>
        <w:rPr>
          <w:rFonts w:hAnsi="宋体" w:cs="宋体"/>
          <w:sz w:val="72"/>
          <w:szCs w:val="72"/>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firstLine="1446" w:firstLineChars="400"/>
        <w:rPr>
          <w:rFonts w:hint="eastAsia" w:ascii="宋体" w:hAnsi="宋体" w:cs="宋体"/>
          <w:b/>
          <w:bCs/>
          <w:sz w:val="36"/>
          <w:szCs w:val="36"/>
          <w:lang w:val="zh-CN"/>
        </w:rPr>
      </w:pPr>
      <w:r>
        <w:rPr>
          <w:rFonts w:hint="eastAsia" w:ascii="宋体" w:hAnsi="宋体" w:cs="宋体"/>
          <w:b/>
          <w:sz w:val="36"/>
          <w:szCs w:val="36"/>
        </w:rPr>
        <w:t>项目名称：</w:t>
      </w:r>
      <w:r>
        <w:rPr>
          <w:rFonts w:hint="eastAsia" w:ascii="宋体" w:hAnsi="宋体" w:cs="宋体"/>
          <w:b/>
          <w:sz w:val="36"/>
          <w:szCs w:val="36"/>
          <w:lang w:eastAsia="zh-CN"/>
        </w:rPr>
        <w:t>过敏源检测分析仪</w:t>
      </w:r>
      <w:r>
        <w:rPr>
          <w:rFonts w:hint="eastAsia" w:ascii="宋体" w:hAnsi="宋体" w:cs="宋体"/>
          <w:b/>
          <w:bCs/>
          <w:sz w:val="36"/>
          <w:szCs w:val="36"/>
          <w:lang w:val="zh-CN"/>
        </w:rPr>
        <w:t>采购项目</w:t>
      </w:r>
    </w:p>
    <w:p>
      <w:pPr>
        <w:spacing w:line="480" w:lineRule="auto"/>
        <w:ind w:firstLine="1446" w:firstLineChars="400"/>
        <w:rPr>
          <w:rFonts w:ascii="宋体" w:hAnsi="宋体" w:cs="宋体"/>
          <w:b/>
          <w:sz w:val="36"/>
          <w:szCs w:val="36"/>
        </w:rPr>
      </w:pPr>
      <w:r>
        <w:rPr>
          <w:rFonts w:hint="eastAsia" w:ascii="宋体" w:hAnsi="宋体" w:cs="宋体"/>
          <w:b/>
          <w:sz w:val="36"/>
          <w:szCs w:val="36"/>
        </w:rPr>
        <w:t>采购单位：鄂东医疗集团市</w:t>
      </w:r>
      <w:r>
        <w:rPr>
          <w:rFonts w:hint="eastAsia" w:ascii="宋体" w:hAnsi="宋体" w:cs="宋体"/>
          <w:b/>
          <w:sz w:val="36"/>
          <w:szCs w:val="36"/>
          <w:lang w:eastAsia="zh-CN"/>
        </w:rPr>
        <w:t>妇幼保健院</w:t>
      </w:r>
    </w:p>
    <w:p>
      <w:pPr>
        <w:pStyle w:val="6"/>
        <w:tabs>
          <w:tab w:val="left" w:pos="2520"/>
        </w:tabs>
        <w:spacing w:line="500" w:lineRule="exact"/>
        <w:jc w:val="center"/>
        <w:rPr>
          <w:rFonts w:hAnsi="宋体" w:cs="宋体"/>
          <w:sz w:val="36"/>
          <w:szCs w:val="36"/>
        </w:rPr>
      </w:pPr>
    </w:p>
    <w:p>
      <w:pPr>
        <w:pStyle w:val="6"/>
        <w:tabs>
          <w:tab w:val="left" w:pos="2520"/>
        </w:tabs>
        <w:spacing w:line="500" w:lineRule="exact"/>
        <w:jc w:val="center"/>
        <w:rPr>
          <w:rFonts w:hAnsi="宋体" w:cs="宋体"/>
          <w:sz w:val="72"/>
          <w:szCs w:val="72"/>
        </w:rPr>
      </w:pPr>
    </w:p>
    <w:p>
      <w:pPr>
        <w:pStyle w:val="6"/>
        <w:tabs>
          <w:tab w:val="left" w:pos="2520"/>
        </w:tabs>
        <w:spacing w:line="500" w:lineRule="exact"/>
        <w:rPr>
          <w:rFonts w:hAnsi="宋体" w:cs="宋体"/>
          <w:sz w:val="72"/>
          <w:szCs w:val="72"/>
        </w:rPr>
      </w:pPr>
    </w:p>
    <w:p>
      <w:pPr>
        <w:pStyle w:val="6"/>
        <w:tabs>
          <w:tab w:val="left" w:pos="2520"/>
        </w:tabs>
        <w:spacing w:line="500" w:lineRule="exact"/>
        <w:rPr>
          <w:rFonts w:hAnsi="宋体" w:cs="宋体"/>
          <w:sz w:val="72"/>
          <w:szCs w:val="72"/>
        </w:rPr>
      </w:pPr>
    </w:p>
    <w:p>
      <w:pPr>
        <w:pStyle w:val="6"/>
        <w:tabs>
          <w:tab w:val="left" w:pos="2520"/>
        </w:tabs>
        <w:spacing w:line="500" w:lineRule="exact"/>
        <w:rPr>
          <w:rFonts w:hAnsi="宋体" w:cs="宋体"/>
          <w:sz w:val="72"/>
          <w:szCs w:val="72"/>
        </w:rPr>
      </w:pPr>
    </w:p>
    <w:p>
      <w:pPr>
        <w:tabs>
          <w:tab w:val="left" w:pos="1980"/>
        </w:tabs>
        <w:spacing w:line="500" w:lineRule="exact"/>
        <w:jc w:val="center"/>
        <w:rPr>
          <w:rFonts w:ascii="宋体" w:hAnsi="宋体" w:cs="宋体"/>
          <w:b/>
          <w:bCs/>
          <w:sz w:val="18"/>
          <w:szCs w:val="18"/>
        </w:rPr>
      </w:pPr>
    </w:p>
    <w:p>
      <w:pPr>
        <w:tabs>
          <w:tab w:val="left" w:pos="1980"/>
        </w:tabs>
        <w:spacing w:line="500" w:lineRule="exact"/>
        <w:rPr>
          <w:rFonts w:ascii="宋体" w:hAnsi="宋体" w:cs="宋体"/>
          <w:b/>
          <w:bCs/>
          <w:sz w:val="28"/>
          <w:szCs w:val="28"/>
        </w:rPr>
      </w:pPr>
    </w:p>
    <w:p>
      <w:pPr>
        <w:spacing w:line="500" w:lineRule="exact"/>
        <w:jc w:val="center"/>
        <w:rPr>
          <w:rFonts w:ascii="宋体" w:hAnsi="宋体" w:cs="宋体"/>
          <w:b/>
          <w:bCs/>
          <w:sz w:val="32"/>
          <w:szCs w:val="32"/>
        </w:rPr>
      </w:pPr>
    </w:p>
    <w:p>
      <w:pPr>
        <w:spacing w:line="500" w:lineRule="exact"/>
        <w:jc w:val="center"/>
        <w:rPr>
          <w:rFonts w:ascii="宋体" w:hAnsi="宋体" w:cs="宋体"/>
          <w:b/>
          <w:sz w:val="44"/>
          <w:szCs w:val="44"/>
        </w:rPr>
      </w:pPr>
    </w:p>
    <w:p>
      <w:pPr>
        <w:snapToGrid w:val="0"/>
        <w:jc w:val="center"/>
        <w:rPr>
          <w:rFonts w:ascii="宋体" w:hAnsi="宋体"/>
          <w:b/>
          <w:bCs/>
          <w:sz w:val="36"/>
          <w:szCs w:val="36"/>
        </w:rPr>
      </w:pPr>
    </w:p>
    <w:p>
      <w:pPr>
        <w:snapToGrid w:val="0"/>
        <w:jc w:val="center"/>
        <w:rPr>
          <w:rFonts w:ascii="宋体" w:hAnsi="宋体"/>
          <w:b/>
          <w:bCs/>
          <w:sz w:val="36"/>
          <w:szCs w:val="36"/>
        </w:rPr>
      </w:pPr>
    </w:p>
    <w:p>
      <w:pPr>
        <w:snapToGrid w:val="0"/>
        <w:ind w:firstLine="3253" w:firstLineChars="900"/>
        <w:rPr>
          <w:rFonts w:ascii="宋体"/>
          <w:b/>
          <w:sz w:val="32"/>
          <w:szCs w:val="32"/>
        </w:rPr>
      </w:pPr>
      <w:r>
        <w:rPr>
          <w:rFonts w:hint="eastAsia" w:ascii="宋体" w:hAnsi="宋体"/>
          <w:b/>
          <w:bCs/>
          <w:sz w:val="36"/>
          <w:szCs w:val="36"/>
        </w:rPr>
        <w:t>二〇二</w:t>
      </w:r>
      <w:r>
        <w:rPr>
          <w:rFonts w:hint="eastAsia" w:ascii="宋体" w:hAnsi="宋体"/>
          <w:b/>
          <w:bCs/>
          <w:sz w:val="36"/>
          <w:szCs w:val="36"/>
          <w:lang w:eastAsia="zh-CN"/>
        </w:rPr>
        <w:t>一</w:t>
      </w:r>
      <w:r>
        <w:rPr>
          <w:rFonts w:hint="eastAsia" w:ascii="宋体" w:hAnsi="宋体"/>
          <w:b/>
          <w:bCs/>
          <w:sz w:val="36"/>
          <w:szCs w:val="36"/>
        </w:rPr>
        <w:t>年</w:t>
      </w:r>
      <w:r>
        <w:rPr>
          <w:rFonts w:hint="eastAsia" w:ascii="宋体" w:hAnsi="宋体"/>
          <w:b/>
          <w:bCs/>
          <w:sz w:val="36"/>
          <w:szCs w:val="36"/>
          <w:lang w:eastAsia="zh-CN"/>
        </w:rPr>
        <w:t>十二</w:t>
      </w:r>
      <w:r>
        <w:rPr>
          <w:rFonts w:hint="eastAsia" w:ascii="宋体" w:hAnsi="宋体"/>
          <w:b/>
          <w:bCs/>
          <w:sz w:val="36"/>
          <w:szCs w:val="36"/>
        </w:rPr>
        <w:t>月</w:t>
      </w:r>
    </w:p>
    <w:p>
      <w:pPr>
        <w:spacing w:line="500" w:lineRule="exact"/>
        <w:jc w:val="center"/>
        <w:rPr>
          <w:rFonts w:ascii="宋体" w:hAnsi="宋体" w:cs="宋体"/>
          <w:b/>
          <w:bCs/>
          <w:sz w:val="32"/>
          <w:szCs w:val="32"/>
        </w:rPr>
      </w:pPr>
    </w:p>
    <w:p>
      <w:pPr>
        <w:rPr>
          <w:rFonts w:ascii="宋体" w:hAnsi="宋体" w:cs="宋体"/>
          <w:sz w:val="24"/>
          <w:szCs w:val="24"/>
        </w:rPr>
      </w:pPr>
    </w:p>
    <w:p>
      <w:pPr>
        <w:spacing w:line="500" w:lineRule="exact"/>
        <w:jc w:val="center"/>
        <w:rPr>
          <w:rFonts w:ascii="宋体" w:hAnsi="宋体" w:cs="宋体"/>
          <w:b/>
          <w:bCs/>
          <w:sz w:val="24"/>
          <w:szCs w:val="24"/>
        </w:rPr>
      </w:pPr>
    </w:p>
    <w:p>
      <w:pPr>
        <w:pStyle w:val="11"/>
        <w:rPr>
          <w:rFonts w:ascii="宋体" w:hAnsi="宋体" w:cs="宋体"/>
        </w:rPr>
      </w:pPr>
      <w:bookmarkStart w:id="0" w:name="_Toc528493082"/>
      <w:bookmarkStart w:id="1" w:name="_Toc528493130"/>
      <w:bookmarkStart w:id="2" w:name="_Toc528493563"/>
      <w:bookmarkStart w:id="3" w:name="_Toc528493163"/>
      <w:r>
        <w:rPr>
          <w:rFonts w:hint="eastAsia" w:ascii="宋体" w:hAnsi="宋体" w:cs="宋体"/>
        </w:rPr>
        <w:br w:type="page"/>
      </w:r>
      <w:bookmarkStart w:id="4" w:name="_Toc528494262"/>
      <w:r>
        <w:rPr>
          <w:rFonts w:hint="eastAsia" w:ascii="宋体" w:hAnsi="宋体" w:cs="宋体"/>
        </w:rPr>
        <w:t>第一章  磋商邀请函</w:t>
      </w:r>
      <w:bookmarkEnd w:id="0"/>
      <w:bookmarkEnd w:id="1"/>
      <w:bookmarkEnd w:id="2"/>
      <w:bookmarkEnd w:id="3"/>
      <w:bookmarkEnd w:id="4"/>
    </w:p>
    <w:p>
      <w:pPr>
        <w:spacing w:line="420" w:lineRule="exact"/>
        <w:ind w:firstLine="480" w:firstLineChars="200"/>
        <w:rPr>
          <w:rFonts w:ascii="宋体" w:cs="宋体"/>
          <w:sz w:val="24"/>
          <w:lang w:val="zh-CN"/>
        </w:rPr>
      </w:pPr>
      <w:bookmarkStart w:id="5" w:name="_Toc28359080"/>
      <w:bookmarkStart w:id="6" w:name="_Toc35393791"/>
      <w:bookmarkStart w:id="7" w:name="_Toc28359003"/>
      <w:bookmarkStart w:id="8" w:name="_Toc35393622"/>
      <w:r>
        <w:rPr>
          <w:rFonts w:hint="eastAsia" w:ascii="宋体" w:hAnsi="宋体" w:cs="宋体"/>
          <w:sz w:val="24"/>
          <w:lang w:val="zh-CN"/>
        </w:rPr>
        <w:t>根据鄂东医疗集团市妇幼保健院的需求，就过敏源检测分析仪采购项目以</w:t>
      </w:r>
      <w:r>
        <w:rPr>
          <w:rFonts w:hint="eastAsia" w:ascii="宋体" w:hAnsi="宋体" w:cs="宋体"/>
          <w:color w:val="000000"/>
          <w:sz w:val="24"/>
          <w:lang w:val="zh-CN"/>
        </w:rPr>
        <w:t>竞争性磋商</w:t>
      </w:r>
      <w:r>
        <w:rPr>
          <w:rFonts w:hint="eastAsia" w:ascii="宋体" w:hAnsi="宋体" w:cs="宋体"/>
          <w:sz w:val="24"/>
          <w:lang w:val="zh-CN"/>
        </w:rPr>
        <w:t>方式进行采购</w:t>
      </w:r>
      <w:r>
        <w:rPr>
          <w:rFonts w:hint="eastAsia" w:ascii="宋体" w:hAnsi="宋体" w:cs="宋体"/>
          <w:sz w:val="24"/>
        </w:rPr>
        <w:t>，欢迎符合资格条件的磋商供应商参与本项目。</w:t>
      </w:r>
    </w:p>
    <w:p>
      <w:pPr>
        <w:spacing w:line="420" w:lineRule="exact"/>
        <w:rPr>
          <w:rFonts w:ascii="宋体" w:cs="宋体"/>
          <w:sz w:val="18"/>
          <w:szCs w:val="18"/>
        </w:rPr>
      </w:pPr>
      <w:r>
        <w:rPr>
          <w:rFonts w:hint="eastAsia" w:ascii="宋体" w:hAnsi="宋体" w:cs="宋体"/>
          <w:b/>
          <w:bCs/>
          <w:sz w:val="24"/>
        </w:rPr>
        <w:t>一、项目概况：</w:t>
      </w:r>
    </w:p>
    <w:p>
      <w:pPr>
        <w:spacing w:line="420" w:lineRule="exact"/>
        <w:ind w:firstLine="480" w:firstLineChars="200"/>
        <w:rPr>
          <w:rFonts w:hint="eastAsia" w:ascii="宋体" w:hAnsi="宋体" w:cs="宋体"/>
          <w:sz w:val="24"/>
          <w:lang w:val="zh-CN"/>
        </w:rPr>
      </w:pPr>
      <w:bookmarkStart w:id="9" w:name="_Hlk55547162"/>
      <w:bookmarkStart w:id="10" w:name="_Hlk55478066"/>
      <w:r>
        <w:rPr>
          <w:rFonts w:ascii="宋体" w:hAnsi="宋体" w:cs="宋体"/>
          <w:sz w:val="24"/>
        </w:rPr>
        <w:t>1.</w:t>
      </w:r>
      <w:r>
        <w:rPr>
          <w:rFonts w:hint="eastAsia" w:ascii="宋体" w:hAnsi="宋体" w:cs="宋体"/>
          <w:sz w:val="24"/>
        </w:rPr>
        <w:t>项目名称：</w:t>
      </w:r>
      <w:r>
        <w:rPr>
          <w:rFonts w:hint="eastAsia" w:ascii="宋体" w:hAnsi="宋体" w:cs="宋体"/>
          <w:sz w:val="24"/>
          <w:lang w:val="zh-CN"/>
        </w:rPr>
        <w:t>过敏源检测分析仪采购项目；</w:t>
      </w:r>
    </w:p>
    <w:p>
      <w:pPr>
        <w:spacing w:line="420" w:lineRule="exact"/>
        <w:ind w:firstLine="480" w:firstLineChars="200"/>
        <w:rPr>
          <w:rFonts w:hint="eastAsia" w:ascii="宋体" w:eastAsia="宋体" w:cs="宋体"/>
          <w:sz w:val="24"/>
          <w:lang w:eastAsia="zh-CN"/>
        </w:rPr>
      </w:pPr>
      <w:r>
        <w:rPr>
          <w:rFonts w:ascii="宋体" w:hAnsi="宋体" w:cs="宋体"/>
          <w:sz w:val="24"/>
        </w:rPr>
        <w:t>2.</w:t>
      </w:r>
      <w:r>
        <w:rPr>
          <w:rFonts w:hint="eastAsia" w:ascii="宋体" w:hAnsi="宋体" w:cs="宋体"/>
          <w:sz w:val="24"/>
        </w:rPr>
        <w:t>采购方式：竞争性磋商</w:t>
      </w:r>
      <w:r>
        <w:rPr>
          <w:rFonts w:hint="eastAsia" w:ascii="宋体" w:hAnsi="宋体" w:cs="宋体"/>
          <w:sz w:val="24"/>
          <w:lang w:eastAsia="zh-CN"/>
        </w:rPr>
        <w:t>；</w:t>
      </w:r>
    </w:p>
    <w:p>
      <w:pPr>
        <w:spacing w:line="420" w:lineRule="exact"/>
        <w:ind w:firstLine="480" w:firstLineChars="200"/>
        <w:rPr>
          <w:rFonts w:hint="default" w:ascii="宋体" w:hAnsi="宋体" w:eastAsia="宋体" w:cs="宋体"/>
          <w:color w:val="FF0000"/>
          <w:sz w:val="24"/>
          <w:lang w:val="en-US" w:eastAsia="zh-CN"/>
        </w:rPr>
      </w:pPr>
      <w:r>
        <w:rPr>
          <w:rFonts w:ascii="宋体" w:hAnsi="宋体" w:cs="宋体"/>
          <w:color w:val="000000"/>
          <w:sz w:val="24"/>
        </w:rPr>
        <w:t>3.</w:t>
      </w:r>
      <w:r>
        <w:rPr>
          <w:rFonts w:hint="eastAsia" w:ascii="宋体" w:hAnsi="宋体" w:cs="宋体"/>
          <w:color w:val="000000"/>
          <w:sz w:val="24"/>
        </w:rPr>
        <w:t>预算金额：</w:t>
      </w:r>
      <w:r>
        <w:rPr>
          <w:rFonts w:hint="eastAsia" w:ascii="宋体" w:hAnsi="宋体" w:cs="宋体"/>
          <w:sz w:val="24"/>
          <w:lang w:val="en-US" w:eastAsia="zh-CN"/>
        </w:rPr>
        <w:t>4.5万元整（超过预算报价，视为无效投标）</w:t>
      </w:r>
    </w:p>
    <w:bookmarkEnd w:id="5"/>
    <w:bookmarkEnd w:id="6"/>
    <w:bookmarkEnd w:id="7"/>
    <w:bookmarkEnd w:id="8"/>
    <w:bookmarkEnd w:id="9"/>
    <w:bookmarkEnd w:id="10"/>
    <w:p>
      <w:pPr>
        <w:spacing w:line="420" w:lineRule="exact"/>
        <w:rPr>
          <w:rFonts w:ascii="宋体" w:cs="宋体"/>
          <w:b/>
          <w:bCs/>
          <w:color w:val="000000"/>
          <w:sz w:val="24"/>
        </w:rPr>
      </w:pPr>
      <w:bookmarkStart w:id="11" w:name="_Toc35393623"/>
      <w:bookmarkStart w:id="12" w:name="_Toc35393792"/>
      <w:bookmarkStart w:id="13" w:name="_Toc28359004"/>
      <w:bookmarkStart w:id="14" w:name="_Toc28359081"/>
      <w:r>
        <w:rPr>
          <w:rFonts w:hint="eastAsia" w:ascii="宋体" w:hAnsi="宋体" w:cs="宋体"/>
          <w:b/>
          <w:bCs/>
          <w:color w:val="000000"/>
          <w:sz w:val="24"/>
        </w:rPr>
        <w:t>二、供应商资格要求：</w:t>
      </w:r>
    </w:p>
    <w:p>
      <w:pPr>
        <w:snapToGrid w:val="0"/>
        <w:spacing w:line="420" w:lineRule="exact"/>
        <w:ind w:firstLine="504" w:firstLineChars="210"/>
        <w:rPr>
          <w:rFonts w:hint="eastAsia" w:ascii="宋体" w:hAnsi="宋体" w:eastAsia="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rPr>
        <w:t>.供应商必须持有有效期内的营业执照</w:t>
      </w:r>
      <w:r>
        <w:rPr>
          <w:rFonts w:hint="eastAsia" w:ascii="宋体" w:hAnsi="宋体" w:cs="宋体"/>
          <w:color w:val="000000"/>
          <w:sz w:val="24"/>
          <w:lang w:eastAsia="zh-CN"/>
        </w:rPr>
        <w:t>；</w:t>
      </w:r>
      <w:bookmarkStart w:id="99" w:name="_GoBack"/>
      <w:bookmarkEnd w:id="99"/>
    </w:p>
    <w:p>
      <w:pPr>
        <w:snapToGrid w:val="0"/>
        <w:spacing w:line="420" w:lineRule="exact"/>
        <w:ind w:firstLine="504" w:firstLineChars="210"/>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.供应商必须具有良好的商业信誉和健全的财务会计制度</w:t>
      </w:r>
      <w:r>
        <w:rPr>
          <w:rFonts w:hint="eastAsia" w:ascii="宋体" w:hAnsi="宋体" w:cs="宋体"/>
          <w:color w:val="000000"/>
          <w:sz w:val="24"/>
          <w:lang w:eastAsia="zh-CN"/>
        </w:rPr>
        <w:t>，</w:t>
      </w:r>
      <w:r>
        <w:rPr>
          <w:rFonts w:hint="eastAsia" w:ascii="宋体" w:hAnsi="宋体" w:cs="宋体"/>
          <w:color w:val="000000"/>
          <w:sz w:val="24"/>
        </w:rPr>
        <w:t>近三年在经营活动中没有重大违法记录（提供近三年无重大违法记录声明）。</w:t>
      </w:r>
    </w:p>
    <w:p>
      <w:pPr>
        <w:snapToGrid w:val="0"/>
        <w:spacing w:line="420" w:lineRule="exact"/>
        <w:ind w:firstLine="504" w:firstLineChars="210"/>
        <w:rPr>
          <w:rFonts w:ascii="宋体" w:hAnsi="宋体" w:cs="宋体"/>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投标人必须提供法定代表人授权委托书及</w:t>
      </w:r>
      <w:r>
        <w:rPr>
          <w:rFonts w:hint="eastAsia" w:ascii="宋体" w:hAnsi="宋体" w:cs="宋体"/>
          <w:sz w:val="24"/>
        </w:rPr>
        <w:t>代理人身份证。</w:t>
      </w:r>
    </w:p>
    <w:p>
      <w:pPr>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供应商必须持有医疗器械经营许可证。</w:t>
      </w:r>
    </w:p>
    <w:p>
      <w:pPr>
        <w:spacing w:line="360" w:lineRule="auto"/>
        <w:ind w:firstLine="480" w:firstLineChars="200"/>
        <w:rPr>
          <w:rFonts w:ascii="宋体" w:hAnsi="宋体" w:cs="宋体"/>
          <w:color w:val="000000"/>
          <w:sz w:val="24"/>
        </w:rPr>
      </w:pPr>
      <w:r>
        <w:rPr>
          <w:rFonts w:hint="eastAsia" w:ascii="宋体" w:hAnsi="宋体" w:cs="宋体"/>
          <w:color w:val="000000"/>
          <w:sz w:val="24"/>
        </w:rPr>
        <w:t>5.供应商必须提供项目设备的注册证及厂方许可证。</w:t>
      </w:r>
    </w:p>
    <w:p>
      <w:pPr>
        <w:snapToGrid w:val="0"/>
        <w:spacing w:line="420" w:lineRule="exact"/>
        <w:ind w:firstLine="480" w:firstLineChars="200"/>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.根据《关于在招投标活动中对失信被执行人实施联合惩戒的通知》(法[2016]285号)的规定，</w:t>
      </w:r>
      <w:r>
        <w:rPr>
          <w:rFonts w:hint="eastAsia" w:ascii="宋体" w:hAnsi="宋体"/>
          <w:color w:val="000000"/>
          <w:sz w:val="24"/>
          <w:lang w:val="zh-CN"/>
        </w:rPr>
        <w:t>供应商必须自公告发布之日起自行在</w:t>
      </w:r>
      <w:r>
        <w:rPr>
          <w:rFonts w:hint="eastAsia" w:ascii="宋体" w:hAnsi="宋体" w:cs="宋体"/>
          <w:color w:val="000000"/>
          <w:sz w:val="24"/>
        </w:rPr>
        <w:t>“信用中国”网站(网址www.creditchina.gov.cn)</w:t>
      </w:r>
      <w:r>
        <w:rPr>
          <w:rFonts w:hint="eastAsia" w:ascii="宋体" w:hAnsi="宋体"/>
          <w:color w:val="000000"/>
          <w:sz w:val="24"/>
          <w:lang w:val="zh-CN"/>
        </w:rPr>
        <w:t>查询</w:t>
      </w:r>
      <w:r>
        <w:rPr>
          <w:rFonts w:hint="eastAsia" w:ascii="宋体" w:hAnsi="宋体"/>
          <w:color w:val="000000"/>
          <w:sz w:val="24"/>
        </w:rPr>
        <w:t>，</w:t>
      </w:r>
      <w:r>
        <w:rPr>
          <w:rFonts w:hint="eastAsia" w:ascii="宋体" w:hAnsi="宋体"/>
          <w:color w:val="000000"/>
          <w:sz w:val="24"/>
          <w:lang w:val="zh-CN"/>
        </w:rPr>
        <w:t>将查询结果截图加盖公章放入谈判文件</w:t>
      </w:r>
      <w:r>
        <w:rPr>
          <w:rFonts w:hint="eastAsia" w:ascii="宋体" w:hAnsi="宋体" w:cs="宋体"/>
          <w:color w:val="000000"/>
          <w:sz w:val="24"/>
        </w:rPr>
        <w:t>。</w:t>
      </w:r>
    </w:p>
    <w:p>
      <w:pPr>
        <w:snapToGrid w:val="0"/>
        <w:spacing w:line="420" w:lineRule="exact"/>
        <w:ind w:firstLine="504" w:firstLineChars="210"/>
        <w:rPr>
          <w:rFonts w:ascii="宋体" w:hAnsi="宋体" w:cs="宋体"/>
          <w:sz w:val="24"/>
          <w:lang w:val="zh-CN"/>
        </w:rPr>
      </w:pPr>
      <w:r>
        <w:rPr>
          <w:rFonts w:ascii="宋体" w:hAnsi="宋体" w:cs="宋体"/>
          <w:color w:val="000000"/>
          <w:sz w:val="24"/>
        </w:rPr>
        <w:t>7</w:t>
      </w:r>
      <w:r>
        <w:rPr>
          <w:rFonts w:hint="eastAsia" w:ascii="宋体" w:hAnsi="宋体" w:cs="宋体"/>
          <w:color w:val="000000"/>
          <w:sz w:val="24"/>
        </w:rPr>
        <w:t>.本项目不接受联合体参与</w:t>
      </w:r>
      <w:r>
        <w:rPr>
          <w:rFonts w:hint="eastAsia" w:ascii="宋体" w:hAnsi="宋体" w:cs="宋体"/>
          <w:color w:val="000000"/>
          <w:sz w:val="24"/>
          <w:lang w:eastAsia="zh-CN"/>
        </w:rPr>
        <w:t>磋商</w:t>
      </w:r>
      <w:r>
        <w:rPr>
          <w:rFonts w:hint="eastAsia" w:ascii="宋体" w:hAnsi="宋体" w:cs="宋体"/>
          <w:color w:val="000000"/>
          <w:sz w:val="24"/>
        </w:rPr>
        <w:t>。</w:t>
      </w:r>
    </w:p>
    <w:bookmarkEnd w:id="11"/>
    <w:bookmarkEnd w:id="12"/>
    <w:bookmarkEnd w:id="13"/>
    <w:bookmarkEnd w:id="14"/>
    <w:p>
      <w:pPr>
        <w:spacing w:line="420" w:lineRule="exact"/>
        <w:rPr>
          <w:rFonts w:ascii="宋体" w:cs="宋体"/>
          <w:b/>
          <w:bCs/>
          <w:sz w:val="24"/>
        </w:rPr>
      </w:pPr>
      <w:bookmarkStart w:id="15" w:name="_Toc28359084"/>
      <w:bookmarkStart w:id="16" w:name="_Toc28359007"/>
      <w:bookmarkStart w:id="17" w:name="_Toc35393794"/>
      <w:bookmarkStart w:id="18" w:name="_Toc35393625"/>
      <w:bookmarkStart w:id="19" w:name="_Toc528493131"/>
      <w:bookmarkStart w:id="20" w:name="_Toc528493164"/>
      <w:bookmarkStart w:id="21" w:name="_Toc528494275"/>
      <w:bookmarkStart w:id="22" w:name="_Toc528493576"/>
      <w:bookmarkStart w:id="23" w:name="_Toc528493083"/>
      <w:r>
        <w:rPr>
          <w:rFonts w:hint="eastAsia" w:ascii="宋体" w:hAnsi="宋体" w:cs="宋体"/>
          <w:b/>
          <w:bCs/>
          <w:sz w:val="24"/>
        </w:rPr>
        <w:t>三、报名及磋商文件获取方式：</w:t>
      </w:r>
    </w:p>
    <w:p>
      <w:pPr>
        <w:numPr>
          <w:ilvl w:val="0"/>
          <w:numId w:val="0"/>
        </w:numPr>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1．报名地点：</w:t>
      </w:r>
      <w:r>
        <w:rPr>
          <w:rFonts w:hint="eastAsia" w:ascii="宋体" w:hAnsi="宋体" w:cs="宋体"/>
          <w:color w:val="000000"/>
          <w:sz w:val="24"/>
          <w:lang w:val="en-US" w:eastAsia="zh-CN"/>
        </w:rPr>
        <w:t>凡有意参加投标者，请携带有效期内的营业执照、税务登记证、组织机构代码证（三证合一只需提供营业执照）、公司法人授权委托书，以上证件加盖公章复印件到黄石市妇幼保健院3号楼206办公室报名。</w:t>
      </w:r>
    </w:p>
    <w:p>
      <w:pPr>
        <w:numPr>
          <w:ilvl w:val="0"/>
          <w:numId w:val="0"/>
        </w:numPr>
        <w:spacing w:line="360" w:lineRule="auto"/>
        <w:ind w:firstLine="240" w:firstLineChars="100"/>
        <w:jc w:val="both"/>
        <w:rPr>
          <w:rFonts w:hint="default" w:ascii="宋体" w:hAnsi="宋体" w:cs="宋体"/>
          <w:color w:val="000000"/>
          <w:sz w:val="24"/>
          <w:lang w:val="en-US" w:eastAsia="zh-CN"/>
        </w:rPr>
      </w:pPr>
      <w:r>
        <w:rPr>
          <w:rFonts w:hint="eastAsia" w:ascii="宋体" w:hAnsi="宋体" w:cs="宋体"/>
          <w:sz w:val="24"/>
        </w:rPr>
        <w:t xml:space="preserve"> </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报名时间：2021年12月8 日-2021年12 月14 日（上午</w:t>
      </w:r>
      <w:r>
        <w:rPr>
          <w:rFonts w:hint="default" w:ascii="宋体" w:hAnsi="宋体" w:cs="宋体"/>
          <w:color w:val="000000"/>
          <w:sz w:val="24"/>
          <w:lang w:val="en-US" w:eastAsia="zh-CN"/>
        </w:rPr>
        <w:t>8：</w:t>
      </w:r>
      <w:r>
        <w:rPr>
          <w:rFonts w:hint="eastAsia" w:ascii="宋体" w:hAnsi="宋体" w:cs="宋体"/>
          <w:color w:val="000000"/>
          <w:sz w:val="24"/>
          <w:lang w:val="en-US" w:eastAsia="zh-CN"/>
        </w:rPr>
        <w:t>0</w:t>
      </w:r>
      <w:r>
        <w:rPr>
          <w:rFonts w:hint="default" w:ascii="宋体" w:hAnsi="宋体" w:cs="宋体"/>
          <w:color w:val="000000"/>
          <w:sz w:val="24"/>
          <w:lang w:val="en-US" w:eastAsia="zh-CN"/>
        </w:rPr>
        <w:t>0-11：</w:t>
      </w:r>
      <w:r>
        <w:rPr>
          <w:rFonts w:hint="eastAsia" w:ascii="宋体" w:hAnsi="宋体" w:cs="宋体"/>
          <w:color w:val="000000"/>
          <w:sz w:val="24"/>
          <w:lang w:val="en-US" w:eastAsia="zh-CN"/>
        </w:rPr>
        <w:t>45</w:t>
      </w:r>
      <w:r>
        <w:rPr>
          <w:rFonts w:hint="default" w:ascii="宋体" w:hAnsi="宋体" w:cs="宋体"/>
          <w:color w:val="000000"/>
          <w:sz w:val="24"/>
          <w:lang w:val="en-US" w:eastAsia="zh-CN"/>
        </w:rPr>
        <w:t>,下午14：</w:t>
      </w:r>
      <w:r>
        <w:rPr>
          <w:rFonts w:hint="eastAsia" w:ascii="宋体" w:hAnsi="宋体" w:cs="宋体"/>
          <w:color w:val="000000"/>
          <w:sz w:val="24"/>
          <w:lang w:val="en-US" w:eastAsia="zh-CN"/>
        </w:rPr>
        <w:t>0</w:t>
      </w:r>
      <w:r>
        <w:rPr>
          <w:rFonts w:hint="default" w:ascii="宋体" w:hAnsi="宋体" w:cs="宋体"/>
          <w:color w:val="000000"/>
          <w:sz w:val="24"/>
          <w:lang w:val="en-US" w:eastAsia="zh-CN"/>
        </w:rPr>
        <w:t>0-17：00,节假日除外）。</w:t>
      </w:r>
    </w:p>
    <w:p>
      <w:pPr>
        <w:numPr>
          <w:ilvl w:val="0"/>
          <w:numId w:val="0"/>
        </w:numPr>
        <w:spacing w:line="360" w:lineRule="auto"/>
        <w:ind w:firstLine="240" w:firstLineChars="100"/>
        <w:jc w:val="both"/>
        <w:rPr>
          <w:rFonts w:hint="default" w:ascii="宋体" w:hAnsi="宋体" w:cs="宋体"/>
          <w:color w:val="000000"/>
          <w:sz w:val="24"/>
          <w:lang w:val="en-US" w:eastAsia="zh-CN"/>
        </w:rPr>
      </w:pPr>
      <w:r>
        <w:rPr>
          <w:rFonts w:hint="eastAsia" w:ascii="宋体" w:hAnsi="宋体" w:cs="宋体"/>
          <w:color w:val="000000"/>
          <w:sz w:val="24"/>
          <w:lang w:val="en-US" w:eastAsia="zh-CN"/>
        </w:rPr>
        <w:t xml:space="preserve">  2、递交标书及开标时间：2021年12月15日下午14:30；</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3、招标地点：鄂东医疗集团市妇幼保健院行政楼205会议室</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4、联系方式</w:t>
      </w:r>
    </w:p>
    <w:p>
      <w:pPr>
        <w:numPr>
          <w:ilvl w:val="0"/>
          <w:numId w:val="0"/>
        </w:numPr>
        <w:spacing w:line="360" w:lineRule="auto"/>
        <w:ind w:firstLine="720" w:firstLineChars="300"/>
        <w:jc w:val="both"/>
        <w:rPr>
          <w:rFonts w:hint="eastAsia" w:ascii="宋体" w:hAnsi="宋体" w:cs="宋体"/>
          <w:color w:val="000000"/>
          <w:sz w:val="24"/>
          <w:lang w:val="en-US" w:eastAsia="zh-CN"/>
        </w:rPr>
      </w:pPr>
      <w:r>
        <w:rPr>
          <w:rFonts w:hint="eastAsia" w:ascii="宋体" w:hAnsi="宋体" w:cs="宋体"/>
          <w:color w:val="000000"/>
          <w:sz w:val="24"/>
          <w:lang w:val="en-US" w:eastAsia="zh-CN"/>
        </w:rPr>
        <w:t>采购人：鄂东医疗集团市妇幼保健院</w:t>
      </w:r>
    </w:p>
    <w:p>
      <w:pPr>
        <w:numPr>
          <w:ilvl w:val="0"/>
          <w:numId w:val="0"/>
        </w:numPr>
        <w:spacing w:line="360" w:lineRule="auto"/>
        <w:ind w:firstLine="720" w:firstLineChars="300"/>
        <w:jc w:val="both"/>
        <w:rPr>
          <w:rFonts w:hint="eastAsia" w:ascii="宋体" w:hAnsi="宋体" w:cs="宋体"/>
          <w:color w:val="000000"/>
          <w:sz w:val="24"/>
          <w:lang w:val="en-US" w:eastAsia="zh-CN"/>
        </w:rPr>
      </w:pPr>
      <w:r>
        <w:rPr>
          <w:rFonts w:hint="eastAsia" w:ascii="宋体" w:hAnsi="宋体" w:cs="宋体"/>
          <w:color w:val="000000"/>
          <w:sz w:val="24"/>
          <w:lang w:val="en-US" w:eastAsia="zh-CN"/>
        </w:rPr>
        <w:t>地址：黄石市团城山桂林南路80号</w:t>
      </w:r>
    </w:p>
    <w:p>
      <w:pPr>
        <w:numPr>
          <w:ilvl w:val="0"/>
          <w:numId w:val="0"/>
        </w:numPr>
        <w:spacing w:line="360" w:lineRule="auto"/>
        <w:ind w:firstLine="720" w:firstLineChars="300"/>
        <w:jc w:val="both"/>
        <w:rPr>
          <w:rFonts w:hint="eastAsia" w:ascii="宋体" w:hAnsi="宋体" w:cs="宋体"/>
          <w:color w:val="000000"/>
          <w:sz w:val="24"/>
          <w:lang w:val="en-US" w:eastAsia="zh-CN"/>
        </w:rPr>
      </w:pPr>
      <w:r>
        <w:rPr>
          <w:rFonts w:hint="eastAsia" w:ascii="宋体" w:hAnsi="宋体" w:cs="宋体"/>
          <w:color w:val="000000"/>
          <w:sz w:val="24"/>
          <w:lang w:val="en-US" w:eastAsia="zh-CN"/>
        </w:rPr>
        <w:t>联系人：李老师</w:t>
      </w:r>
    </w:p>
    <w:p>
      <w:pPr>
        <w:numPr>
          <w:ilvl w:val="0"/>
          <w:numId w:val="0"/>
        </w:numPr>
        <w:spacing w:line="360" w:lineRule="auto"/>
        <w:ind w:firstLine="720" w:firstLineChars="300"/>
        <w:jc w:val="both"/>
        <w:rPr>
          <w:rFonts w:hint="default" w:ascii="宋体" w:hAnsi="宋体" w:cs="宋体"/>
          <w:color w:val="000000"/>
          <w:sz w:val="24"/>
          <w:lang w:val="en-US" w:eastAsia="zh-CN"/>
        </w:rPr>
      </w:pPr>
      <w:r>
        <w:rPr>
          <w:rFonts w:hint="eastAsia" w:ascii="宋体" w:hAnsi="宋体" w:cs="宋体"/>
          <w:color w:val="000000"/>
          <w:sz w:val="24"/>
          <w:lang w:val="en-US" w:eastAsia="zh-CN"/>
        </w:rPr>
        <w:t>电话：0714-6357866</w:t>
      </w:r>
    </w:p>
    <w:p>
      <w:pPr>
        <w:numPr>
          <w:ilvl w:val="0"/>
          <w:numId w:val="0"/>
        </w:numPr>
        <w:ind w:firstLine="240" w:firstLineChars="1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en-US" w:eastAsia="zh-CN"/>
        </w:rPr>
        <w:t>鄂东医疗集团市妇幼保健院</w:t>
      </w:r>
    </w:p>
    <w:p>
      <w:pPr>
        <w:numPr>
          <w:ilvl w:val="0"/>
          <w:numId w:val="0"/>
        </w:numPr>
        <w:ind w:firstLine="5040" w:firstLineChars="21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202</w:t>
      </w: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年</w:t>
      </w:r>
      <w:r>
        <w:rPr>
          <w:rFonts w:hint="eastAsia" w:ascii="宋体" w:hAnsi="宋体" w:cs="宋体"/>
          <w:color w:val="000000"/>
          <w:sz w:val="24"/>
          <w:lang w:val="en-US" w:eastAsia="zh-CN"/>
        </w:rPr>
        <w:t>12</w:t>
      </w:r>
      <w:r>
        <w:rPr>
          <w:rFonts w:hint="eastAsia" w:ascii="宋体" w:hAnsi="宋体" w:eastAsia="宋体" w:cs="宋体"/>
          <w:color w:val="000000"/>
          <w:sz w:val="24"/>
          <w:lang w:val="en-US" w:eastAsia="zh-CN"/>
        </w:rPr>
        <w:t>月</w:t>
      </w:r>
      <w:r>
        <w:rPr>
          <w:rFonts w:hint="eastAsia" w:ascii="宋体" w:hAnsi="宋体" w:cs="宋体"/>
          <w:color w:val="000000"/>
          <w:sz w:val="24"/>
          <w:lang w:val="en-US" w:eastAsia="zh-CN"/>
        </w:rPr>
        <w:t>8</w:t>
      </w:r>
      <w:r>
        <w:rPr>
          <w:rFonts w:hint="eastAsia" w:ascii="宋体" w:hAnsi="宋体" w:eastAsia="宋体" w:cs="宋体"/>
          <w:color w:val="000000"/>
          <w:sz w:val="24"/>
          <w:lang w:val="en-US" w:eastAsia="zh-CN"/>
        </w:rPr>
        <w:t>日</w:t>
      </w:r>
    </w:p>
    <w:bookmarkEnd w:id="15"/>
    <w:bookmarkEnd w:id="16"/>
    <w:bookmarkEnd w:id="17"/>
    <w:bookmarkEnd w:id="18"/>
    <w:p>
      <w:pPr>
        <w:pStyle w:val="11"/>
        <w:rPr>
          <w:rFonts w:ascii="宋体" w:hAnsi="宋体" w:cs="宋体"/>
        </w:rPr>
      </w:pPr>
    </w:p>
    <w:p>
      <w:pPr>
        <w:pStyle w:val="11"/>
        <w:rPr>
          <w:rFonts w:ascii="宋体" w:hAnsi="宋体" w:cs="宋体"/>
        </w:rPr>
      </w:pPr>
    </w:p>
    <w:p>
      <w:pPr>
        <w:pStyle w:val="11"/>
        <w:rPr>
          <w:rFonts w:ascii="宋体" w:hAnsi="宋体" w:cs="宋体"/>
        </w:rPr>
      </w:pPr>
      <w:r>
        <w:rPr>
          <w:rFonts w:hint="eastAsia" w:ascii="宋体" w:hAnsi="宋体" w:cs="宋体"/>
        </w:rPr>
        <w:t xml:space="preserve">第二章  </w:t>
      </w:r>
      <w:r>
        <w:rPr>
          <w:rFonts w:hint="eastAsia" w:ascii="宋体" w:hAnsi="宋体"/>
        </w:rPr>
        <w:t>竞争性磋商</w:t>
      </w:r>
      <w:r>
        <w:rPr>
          <w:rFonts w:hint="eastAsia" w:ascii="宋体" w:hAnsi="宋体" w:cs="宋体"/>
        </w:rPr>
        <w:t>须知</w:t>
      </w:r>
      <w:bookmarkEnd w:id="19"/>
      <w:bookmarkEnd w:id="20"/>
      <w:bookmarkEnd w:id="21"/>
      <w:bookmarkEnd w:id="22"/>
      <w:bookmarkEnd w:id="23"/>
    </w:p>
    <w:p>
      <w:pPr>
        <w:pStyle w:val="6"/>
        <w:adjustRightInd w:val="0"/>
        <w:snapToGrid w:val="0"/>
        <w:spacing w:line="500" w:lineRule="exact"/>
        <w:rPr>
          <w:rFonts w:hAnsi="宋体"/>
          <w:b/>
          <w:sz w:val="24"/>
          <w:szCs w:val="24"/>
        </w:rPr>
      </w:pPr>
      <w:bookmarkStart w:id="24" w:name="_Toc266776856"/>
      <w:r>
        <w:rPr>
          <w:rFonts w:hAnsi="宋体"/>
          <w:b/>
          <w:sz w:val="24"/>
          <w:szCs w:val="24"/>
        </w:rPr>
        <w:t>一、说明</w:t>
      </w:r>
      <w:bookmarkEnd w:id="24"/>
    </w:p>
    <w:p>
      <w:pPr>
        <w:spacing w:line="500" w:lineRule="exact"/>
        <w:jc w:val="left"/>
        <w:rPr>
          <w:rFonts w:ascii="宋体" w:hAnsi="宋体"/>
          <w:bCs/>
          <w:sz w:val="24"/>
        </w:rPr>
      </w:pPr>
      <w:r>
        <w:rPr>
          <w:rFonts w:ascii="宋体" w:hAnsi="宋体"/>
          <w:bCs/>
          <w:sz w:val="24"/>
        </w:rPr>
        <w:t>本竞争性</w:t>
      </w:r>
      <w:r>
        <w:rPr>
          <w:rFonts w:hint="eastAsia" w:ascii="宋体" w:hAnsi="宋体"/>
          <w:bCs/>
          <w:sz w:val="24"/>
        </w:rPr>
        <w:t>磋商</w:t>
      </w:r>
      <w:r>
        <w:rPr>
          <w:rFonts w:ascii="宋体" w:hAnsi="宋体"/>
          <w:bCs/>
          <w:sz w:val="24"/>
        </w:rPr>
        <w:t>文件依据国家有关法律法规编制。</w:t>
      </w:r>
    </w:p>
    <w:p>
      <w:pPr>
        <w:pStyle w:val="6"/>
        <w:adjustRightInd w:val="0"/>
        <w:snapToGrid w:val="0"/>
        <w:spacing w:line="500" w:lineRule="exact"/>
        <w:rPr>
          <w:rFonts w:hAnsi="宋体"/>
          <w:b/>
          <w:sz w:val="24"/>
          <w:szCs w:val="24"/>
        </w:rPr>
      </w:pPr>
      <w:r>
        <w:rPr>
          <w:rFonts w:hint="eastAsia" w:hAnsi="宋体"/>
          <w:b/>
          <w:sz w:val="24"/>
          <w:szCs w:val="24"/>
        </w:rPr>
        <w:t>1．适用范围</w:t>
      </w:r>
    </w:p>
    <w:p>
      <w:pPr>
        <w:spacing w:line="500" w:lineRule="exact"/>
        <w:rPr>
          <w:rFonts w:ascii="宋体" w:hAnsi="宋体"/>
          <w:sz w:val="24"/>
        </w:rPr>
      </w:pPr>
      <w:r>
        <w:rPr>
          <w:rFonts w:ascii="宋体" w:hAnsi="宋体"/>
          <w:sz w:val="24"/>
        </w:rPr>
        <w:t>1.1本竞争性</w:t>
      </w:r>
      <w:r>
        <w:rPr>
          <w:rFonts w:hint="eastAsia" w:ascii="宋体" w:hAnsi="宋体"/>
          <w:sz w:val="24"/>
        </w:rPr>
        <w:t>磋商</w:t>
      </w:r>
      <w:r>
        <w:rPr>
          <w:rFonts w:ascii="宋体" w:hAnsi="宋体"/>
          <w:sz w:val="24"/>
        </w:rPr>
        <w:t>文件仅适用于本次</w:t>
      </w:r>
      <w:r>
        <w:rPr>
          <w:rFonts w:hint="eastAsia" w:ascii="宋体" w:hAnsi="宋体"/>
          <w:sz w:val="24"/>
        </w:rPr>
        <w:t>竞争性磋商</w:t>
      </w:r>
      <w:r>
        <w:rPr>
          <w:rFonts w:ascii="宋体" w:hAnsi="宋体"/>
          <w:sz w:val="24"/>
        </w:rPr>
        <w:t>采购所涉及的项目和内容。</w:t>
      </w:r>
    </w:p>
    <w:p>
      <w:pPr>
        <w:spacing w:line="500" w:lineRule="exact"/>
        <w:rPr>
          <w:rFonts w:ascii="宋体" w:hAnsi="宋体"/>
          <w:sz w:val="24"/>
        </w:rPr>
      </w:pPr>
      <w:r>
        <w:rPr>
          <w:rFonts w:ascii="宋体" w:hAnsi="宋体"/>
          <w:sz w:val="24"/>
        </w:rPr>
        <w:t>1.2本竞争性</w:t>
      </w:r>
      <w:r>
        <w:rPr>
          <w:rFonts w:hint="eastAsia" w:ascii="宋体" w:hAnsi="宋体"/>
          <w:sz w:val="24"/>
        </w:rPr>
        <w:t>磋商</w:t>
      </w:r>
      <w:r>
        <w:rPr>
          <w:rFonts w:ascii="宋体" w:hAnsi="宋体"/>
          <w:sz w:val="24"/>
        </w:rPr>
        <w:t>文件的解释权</w:t>
      </w:r>
      <w:r>
        <w:rPr>
          <w:rFonts w:hint="eastAsia" w:ascii="宋体" w:hAnsi="宋体"/>
          <w:sz w:val="24"/>
        </w:rPr>
        <w:t>归采购单位</w:t>
      </w:r>
      <w:r>
        <w:rPr>
          <w:rFonts w:ascii="宋体" w:hAnsi="宋体"/>
          <w:sz w:val="24"/>
        </w:rPr>
        <w:t>。</w:t>
      </w:r>
    </w:p>
    <w:p>
      <w:pPr>
        <w:spacing w:line="500" w:lineRule="exact"/>
        <w:rPr>
          <w:rStyle w:val="16"/>
          <w:rFonts w:ascii="宋体" w:hAnsi="宋体" w:cs="宋体"/>
          <w:sz w:val="24"/>
          <w:szCs w:val="24"/>
        </w:rPr>
      </w:pPr>
      <w:r>
        <w:rPr>
          <w:rFonts w:hint="eastAsia" w:ascii="宋体" w:hAnsi="宋体" w:cs="宋体"/>
          <w:b/>
          <w:bCs/>
          <w:sz w:val="24"/>
          <w:szCs w:val="24"/>
        </w:rPr>
        <w:t xml:space="preserve">2. </w:t>
      </w:r>
      <w:r>
        <w:rPr>
          <w:rStyle w:val="16"/>
          <w:rFonts w:hint="eastAsia" w:ascii="宋体" w:hAnsi="宋体" w:cs="宋体"/>
          <w:sz w:val="24"/>
          <w:szCs w:val="24"/>
        </w:rPr>
        <w:t>定义</w:t>
      </w:r>
    </w:p>
    <w:p>
      <w:pPr>
        <w:spacing w:line="500" w:lineRule="exact"/>
        <w:rPr>
          <w:rFonts w:ascii="宋体" w:hAnsi="宋体" w:cs="宋体"/>
          <w:bCs/>
          <w:sz w:val="24"/>
        </w:rPr>
      </w:pPr>
      <w:r>
        <w:rPr>
          <w:rFonts w:hint="eastAsia" w:ascii="宋体" w:hAnsi="宋体" w:cs="宋体"/>
          <w:bCs/>
          <w:sz w:val="24"/>
        </w:rPr>
        <w:t>2.1“采购人”是指：鄂东医疗集团市</w:t>
      </w:r>
      <w:r>
        <w:rPr>
          <w:rFonts w:hint="eastAsia" w:ascii="宋体" w:hAnsi="宋体" w:cs="宋体"/>
          <w:bCs/>
          <w:sz w:val="24"/>
          <w:lang w:eastAsia="zh-CN"/>
        </w:rPr>
        <w:t>市妇幼保健院</w:t>
      </w:r>
      <w:r>
        <w:rPr>
          <w:rFonts w:hint="eastAsia" w:ascii="宋体" w:hAnsi="宋体" w:cs="宋体"/>
          <w:bCs/>
          <w:sz w:val="24"/>
        </w:rPr>
        <w:t xml:space="preserve">医院。             </w:t>
      </w:r>
    </w:p>
    <w:p>
      <w:pPr>
        <w:widowControl/>
        <w:spacing w:line="500" w:lineRule="exact"/>
        <w:ind w:left="600" w:hanging="600" w:hangingChars="250"/>
        <w:jc w:val="left"/>
        <w:rPr>
          <w:rFonts w:ascii="宋体" w:hAnsi="宋体" w:cs="宋体"/>
          <w:bCs/>
          <w:sz w:val="24"/>
        </w:rPr>
      </w:pPr>
      <w:r>
        <w:rPr>
          <w:rFonts w:hint="eastAsia" w:ascii="宋体" w:hAnsi="宋体" w:cs="宋体"/>
          <w:bCs/>
          <w:sz w:val="24"/>
        </w:rPr>
        <w:t>2.</w:t>
      </w:r>
      <w:r>
        <w:rPr>
          <w:rFonts w:ascii="宋体" w:hAnsi="宋体" w:cs="宋体"/>
          <w:bCs/>
          <w:sz w:val="24"/>
        </w:rPr>
        <w:t>2</w:t>
      </w:r>
      <w:r>
        <w:rPr>
          <w:rFonts w:hint="eastAsia" w:ascii="宋体" w:hAnsi="宋体" w:cs="宋体"/>
          <w:bCs/>
          <w:sz w:val="24"/>
        </w:rPr>
        <w:t>“磋商供应商”是指：领取了本磋商文件、符合磋商文件规定资格条件并响应本文件要求，参加磋商的法人或者其他组织。如果该供应商在本次磋商中成交，即成为“成交供应商”。</w:t>
      </w:r>
    </w:p>
    <w:p>
      <w:pPr>
        <w:spacing w:line="500" w:lineRule="exact"/>
        <w:ind w:left="708" w:hanging="708" w:hangingChars="295"/>
        <w:rPr>
          <w:rFonts w:ascii="宋体" w:hAnsi="宋体" w:cs="宋体"/>
          <w:bCs/>
          <w:sz w:val="24"/>
        </w:rPr>
      </w:pPr>
      <w:r>
        <w:rPr>
          <w:rFonts w:hint="eastAsia" w:ascii="宋体" w:hAnsi="宋体" w:cs="宋体"/>
          <w:bCs/>
          <w:sz w:val="24"/>
        </w:rPr>
        <w:t>2.</w:t>
      </w:r>
      <w:r>
        <w:rPr>
          <w:rFonts w:ascii="宋体" w:hAnsi="宋体" w:cs="宋体"/>
          <w:bCs/>
          <w:sz w:val="24"/>
        </w:rPr>
        <w:t>3</w:t>
      </w:r>
      <w:r>
        <w:rPr>
          <w:rFonts w:hint="eastAsia" w:ascii="宋体" w:hAnsi="宋体" w:cs="宋体"/>
          <w:bCs/>
          <w:sz w:val="24"/>
        </w:rPr>
        <w:t>“货物”是指：是指供应商按磋商文件规定，向采购人提供全新的各种形态和种类的物品，包括软件、硬件、设备、产品等。</w:t>
      </w:r>
    </w:p>
    <w:p>
      <w:pPr>
        <w:spacing w:line="500" w:lineRule="exact"/>
        <w:ind w:left="600" w:hanging="600" w:hangingChars="250"/>
        <w:rPr>
          <w:rFonts w:ascii="宋体" w:hAnsi="宋体" w:cs="宋体"/>
          <w:sz w:val="24"/>
        </w:rPr>
      </w:pPr>
      <w:r>
        <w:rPr>
          <w:rFonts w:hint="eastAsia" w:ascii="宋体" w:hAnsi="宋体" w:cs="宋体"/>
          <w:sz w:val="24"/>
        </w:rPr>
        <w:t>2.</w:t>
      </w:r>
      <w:r>
        <w:rPr>
          <w:rFonts w:ascii="宋体" w:hAnsi="宋体" w:cs="宋体"/>
          <w:sz w:val="24"/>
        </w:rPr>
        <w:t>4</w:t>
      </w:r>
      <w:r>
        <w:rPr>
          <w:rFonts w:hint="eastAsia" w:ascii="宋体" w:hAnsi="宋体" w:cs="宋体"/>
          <w:bCs/>
          <w:sz w:val="24"/>
        </w:rPr>
        <w:t>“竞争性磋商响应文件”是指：供应商根据本文件要求，编制包含报价、技术和服务等所有内容的文件。</w:t>
      </w:r>
    </w:p>
    <w:p>
      <w:pPr>
        <w:spacing w:line="500" w:lineRule="exact"/>
        <w:rPr>
          <w:rFonts w:ascii="宋体" w:hAnsi="宋体" w:cs="宋体"/>
          <w:b/>
          <w:bCs/>
          <w:sz w:val="28"/>
          <w:szCs w:val="28"/>
        </w:rPr>
      </w:pPr>
      <w:r>
        <w:rPr>
          <w:rFonts w:ascii="宋体" w:hAnsi="宋体" w:cs="宋体"/>
          <w:b/>
          <w:bCs/>
          <w:sz w:val="24"/>
          <w:szCs w:val="24"/>
        </w:rPr>
        <w:t>3</w:t>
      </w:r>
      <w:r>
        <w:rPr>
          <w:rFonts w:hint="eastAsia" w:ascii="宋体" w:hAnsi="宋体" w:cs="宋体"/>
          <w:b/>
          <w:bCs/>
          <w:sz w:val="24"/>
          <w:szCs w:val="24"/>
        </w:rPr>
        <w:t>.</w:t>
      </w:r>
      <w:r>
        <w:rPr>
          <w:rStyle w:val="16"/>
          <w:rFonts w:hint="eastAsia" w:ascii="宋体" w:hAnsi="宋体" w:cs="宋体"/>
          <w:sz w:val="24"/>
          <w:szCs w:val="24"/>
        </w:rPr>
        <w:t>磋商费用</w:t>
      </w:r>
    </w:p>
    <w:p>
      <w:pPr>
        <w:pStyle w:val="6"/>
        <w:adjustRightInd w:val="0"/>
        <w:snapToGrid w:val="0"/>
        <w:spacing w:line="500" w:lineRule="exact"/>
        <w:ind w:firstLine="480" w:firstLineChars="200"/>
        <w:rPr>
          <w:rFonts w:hAnsi="宋体"/>
          <w:sz w:val="24"/>
          <w:szCs w:val="24"/>
        </w:rPr>
      </w:pPr>
      <w:bookmarkStart w:id="25" w:name="_Toc528494277"/>
      <w:r>
        <w:rPr>
          <w:rFonts w:hint="eastAsia" w:hAnsi="宋体"/>
          <w:kern w:val="0"/>
          <w:sz w:val="24"/>
          <w:szCs w:val="24"/>
        </w:rPr>
        <w:t>响应人</w:t>
      </w:r>
      <w:r>
        <w:rPr>
          <w:rFonts w:hint="eastAsia" w:hAnsi="宋体"/>
          <w:sz w:val="24"/>
          <w:szCs w:val="24"/>
        </w:rPr>
        <w:t>应承担所有与准备和参加磋商有关的费用。不论磋商结果如何，采购人均无义务和责任承担以上费用。</w:t>
      </w:r>
    </w:p>
    <w:p>
      <w:pPr>
        <w:pStyle w:val="6"/>
        <w:adjustRightInd w:val="0"/>
        <w:snapToGrid w:val="0"/>
        <w:spacing w:line="500" w:lineRule="exact"/>
        <w:rPr>
          <w:rFonts w:ascii="Cambria" w:hAnsi="宋体" w:cs="宋体"/>
          <w:b/>
          <w:bCs/>
          <w:kern w:val="28"/>
          <w:sz w:val="24"/>
          <w:szCs w:val="24"/>
        </w:rPr>
      </w:pPr>
      <w:r>
        <w:rPr>
          <w:rStyle w:val="16"/>
          <w:rFonts w:hint="eastAsia" w:hAnsi="宋体" w:cs="宋体"/>
          <w:sz w:val="24"/>
          <w:szCs w:val="24"/>
        </w:rPr>
        <w:t>二、磋商文件</w:t>
      </w:r>
      <w:bookmarkEnd w:id="25"/>
      <w:r>
        <w:rPr>
          <w:rStyle w:val="16"/>
          <w:rFonts w:hint="eastAsia" w:hAnsi="宋体" w:cs="宋体"/>
          <w:sz w:val="24"/>
          <w:szCs w:val="24"/>
        </w:rPr>
        <w:t>的澄清与修改</w:t>
      </w:r>
    </w:p>
    <w:p>
      <w:pPr>
        <w:pStyle w:val="6"/>
        <w:snapToGrid w:val="0"/>
        <w:spacing w:line="500" w:lineRule="exact"/>
        <w:rPr>
          <w:rFonts w:hAnsi="宋体" w:cs="宋体"/>
          <w:sz w:val="24"/>
        </w:rPr>
      </w:pPr>
      <w:r>
        <w:rPr>
          <w:rFonts w:hAnsi="宋体" w:cs="宋体"/>
          <w:sz w:val="24"/>
        </w:rPr>
        <w:t>1</w:t>
      </w:r>
      <w:r>
        <w:rPr>
          <w:rFonts w:hint="eastAsia" w:hAnsi="宋体" w:cs="宋体"/>
          <w:sz w:val="24"/>
        </w:rPr>
        <w:t>.提交首次响应文件截止之日前，采购人、采购代理机构可以对本竞争性磋商采购文件进行必要的修改，修改的内容是磋商文件的组成部分，采购代理机构将以书面或网上发布公告形式通知所有磋商供应商。</w:t>
      </w:r>
    </w:p>
    <w:p>
      <w:pPr>
        <w:pStyle w:val="6"/>
        <w:snapToGrid w:val="0"/>
        <w:spacing w:line="500" w:lineRule="exact"/>
        <w:rPr>
          <w:rFonts w:hAnsi="宋体" w:cs="宋体"/>
          <w:sz w:val="24"/>
        </w:rPr>
      </w:pPr>
      <w:r>
        <w:rPr>
          <w:rFonts w:hint="eastAsia" w:hAnsi="宋体" w:cs="宋体"/>
          <w:sz w:val="24"/>
        </w:rPr>
        <w:t>2.磋商文件、磋商文件澄清（答疑）纪要、磋商文件修改补充通知书内容均以书面明确的内容为准。当磋商文件、修改补充通知、澄清（答疑）纪要内容不一致时，以最后发出的通知、纪要或修改文件为准。</w:t>
      </w:r>
    </w:p>
    <w:p>
      <w:pPr>
        <w:pStyle w:val="6"/>
        <w:snapToGrid w:val="0"/>
        <w:spacing w:line="500" w:lineRule="exact"/>
        <w:rPr>
          <w:rFonts w:hAnsi="宋体" w:cs="宋体"/>
          <w:sz w:val="24"/>
        </w:rPr>
      </w:pPr>
      <w:r>
        <w:rPr>
          <w:rFonts w:hint="eastAsia" w:hAnsi="宋体" w:cs="宋体"/>
          <w:sz w:val="24"/>
        </w:rPr>
        <w:t>3.澄清或者修改的内容可能影响响应文件编制的，修改文件应当在提交首次响应文件截止之日3个工作日前发出，不足3个工作日的，采购人、采购代理机构将顺延提交首次响应文件截止之日。</w:t>
      </w:r>
    </w:p>
    <w:p>
      <w:pPr>
        <w:spacing w:line="500" w:lineRule="exact"/>
        <w:rPr>
          <w:rFonts w:ascii="宋体" w:hAnsi="宋体" w:cs="宋体"/>
          <w:sz w:val="24"/>
        </w:rPr>
      </w:pPr>
      <w:r>
        <w:rPr>
          <w:rFonts w:hint="eastAsia" w:ascii="宋体" w:hAnsi="宋体" w:cs="宋体"/>
          <w:sz w:val="24"/>
        </w:rPr>
        <w:t>4.磋商修改文件是竞争性磋商文件的组成部分，对所有提交了竞争性磋商响应文件的供应商具有约束力。</w:t>
      </w:r>
    </w:p>
    <w:p>
      <w:pPr>
        <w:pStyle w:val="6"/>
        <w:snapToGrid w:val="0"/>
        <w:spacing w:line="500" w:lineRule="exact"/>
        <w:rPr>
          <w:rFonts w:hAnsi="宋体" w:cs="宋体"/>
          <w:sz w:val="24"/>
        </w:rPr>
      </w:pPr>
      <w:r>
        <w:rPr>
          <w:rFonts w:hint="eastAsia" w:hAnsi="宋体" w:cs="宋体"/>
          <w:sz w:val="24"/>
        </w:rPr>
        <w:t>5.</w:t>
      </w:r>
      <w:r>
        <w:rPr>
          <w:rFonts w:hint="eastAsia" w:hAnsi="宋体" w:cs="宋体"/>
          <w:sz w:val="24"/>
          <w:lang w:val="zh-CN"/>
        </w:rPr>
        <w:t>供应商要求对本竞争性磋商采购文件进行澄清的</w:t>
      </w:r>
      <w:r>
        <w:rPr>
          <w:rFonts w:hint="eastAsia" w:hAnsi="宋体" w:cs="宋体"/>
          <w:sz w:val="24"/>
        </w:rPr>
        <w:t>，</w:t>
      </w:r>
      <w:r>
        <w:rPr>
          <w:rFonts w:hint="eastAsia" w:hAnsi="宋体" w:cs="宋体"/>
          <w:sz w:val="24"/>
          <w:lang w:val="zh-CN"/>
        </w:rPr>
        <w:t>应以书面形式在提疑截止时间以前向采购代理机构或采购人提出</w:t>
      </w:r>
      <w:r>
        <w:rPr>
          <w:rFonts w:hint="eastAsia" w:hAnsi="宋体" w:cs="宋体"/>
          <w:sz w:val="24"/>
        </w:rPr>
        <w:t>，</w:t>
      </w:r>
      <w:r>
        <w:rPr>
          <w:rFonts w:hint="eastAsia" w:hAnsi="宋体" w:cs="宋体"/>
          <w:sz w:val="24"/>
          <w:lang w:val="zh-CN"/>
        </w:rPr>
        <w:t>提疑截止时间</w:t>
      </w:r>
      <w:r>
        <w:rPr>
          <w:rFonts w:hint="eastAsia" w:hAnsi="宋体" w:cs="宋体"/>
          <w:sz w:val="24"/>
        </w:rPr>
        <w:t>为提交首次响应文件截止之日5日前，在</w:t>
      </w:r>
      <w:r>
        <w:rPr>
          <w:rFonts w:hint="eastAsia" w:hAnsi="宋体" w:cs="宋体"/>
          <w:sz w:val="24"/>
          <w:lang w:val="zh-CN"/>
        </w:rPr>
        <w:t>提疑截止时间</w:t>
      </w:r>
      <w:r>
        <w:rPr>
          <w:rFonts w:hint="eastAsia" w:hAnsi="宋体" w:cs="宋体"/>
          <w:sz w:val="24"/>
        </w:rPr>
        <w:t>前未提出的视为认同本文件内容，在截止时间之后提出的不予受理。</w:t>
      </w:r>
    </w:p>
    <w:p>
      <w:pPr>
        <w:spacing w:line="500" w:lineRule="exact"/>
        <w:rPr>
          <w:rStyle w:val="16"/>
          <w:rFonts w:ascii="宋体" w:hAnsi="宋体" w:cs="宋体"/>
          <w:sz w:val="24"/>
          <w:szCs w:val="24"/>
        </w:rPr>
      </w:pPr>
      <w:bookmarkStart w:id="26" w:name="_Toc528494278"/>
      <w:r>
        <w:rPr>
          <w:rStyle w:val="16"/>
          <w:rFonts w:hint="eastAsia" w:ascii="宋体" w:hAnsi="宋体" w:cs="宋体"/>
          <w:sz w:val="24"/>
          <w:szCs w:val="24"/>
        </w:rPr>
        <w:t>三、竞争性磋商响应文件</w:t>
      </w:r>
      <w:bookmarkEnd w:id="26"/>
    </w:p>
    <w:p>
      <w:pPr>
        <w:spacing w:line="500" w:lineRule="exact"/>
        <w:rPr>
          <w:rFonts w:ascii="宋体" w:hAnsi="宋体" w:cs="宋体"/>
          <w:b/>
          <w:bCs/>
          <w:sz w:val="28"/>
          <w:szCs w:val="28"/>
        </w:rPr>
      </w:pPr>
      <w:r>
        <w:rPr>
          <w:rFonts w:ascii="宋体" w:hAnsi="宋体" w:cs="宋体"/>
          <w:b/>
          <w:bCs/>
          <w:sz w:val="24"/>
          <w:szCs w:val="24"/>
        </w:rPr>
        <w:t>1</w:t>
      </w:r>
      <w:r>
        <w:rPr>
          <w:rFonts w:hint="eastAsia" w:ascii="宋体" w:hAnsi="宋体" w:cs="宋体"/>
          <w:b/>
          <w:bCs/>
          <w:sz w:val="24"/>
          <w:szCs w:val="24"/>
        </w:rPr>
        <w:t>.</w:t>
      </w:r>
      <w:r>
        <w:rPr>
          <w:rStyle w:val="16"/>
          <w:rFonts w:hint="eastAsia" w:ascii="宋体" w:hAnsi="宋体" w:cs="宋体"/>
          <w:sz w:val="24"/>
          <w:szCs w:val="24"/>
        </w:rPr>
        <w:t>磋商响应文件的编制</w:t>
      </w:r>
    </w:p>
    <w:p>
      <w:pPr>
        <w:spacing w:line="500" w:lineRule="exact"/>
        <w:rPr>
          <w:rFonts w:ascii="宋体" w:hAnsi="宋体" w:cs="宋体"/>
          <w:sz w:val="24"/>
        </w:rPr>
      </w:pPr>
      <w:r>
        <w:rPr>
          <w:rFonts w:hint="eastAsia" w:ascii="宋体" w:hAnsi="宋体" w:cs="宋体"/>
          <w:sz w:val="24"/>
        </w:rPr>
        <w:t>1.1竞争性磋商响应文件必须按本文件的全部内容编制，包括所有的补充通知及附件。</w:t>
      </w:r>
    </w:p>
    <w:p>
      <w:pPr>
        <w:spacing w:line="500" w:lineRule="exact"/>
        <w:rPr>
          <w:rFonts w:ascii="宋体" w:hAnsi="宋体" w:cs="宋体"/>
          <w:sz w:val="24"/>
        </w:rPr>
      </w:pPr>
      <w:r>
        <w:rPr>
          <w:rFonts w:hint="eastAsia" w:ascii="宋体" w:hAnsi="宋体" w:cs="宋体"/>
          <w:sz w:val="24"/>
        </w:rPr>
        <w:t>1.2竞争性磋商响应文件应使用中文，磋商供应商提交的支持文件和印刷的文献可以使用别的语言，但其相应内容必须附有中文翻译文本，在解释竞争性磋商响应文件时以翻译文本为主。</w:t>
      </w:r>
    </w:p>
    <w:p>
      <w:pPr>
        <w:spacing w:line="500" w:lineRule="exact"/>
        <w:rPr>
          <w:rFonts w:ascii="宋体" w:hAnsi="宋体" w:cs="宋体"/>
          <w:sz w:val="24"/>
        </w:rPr>
      </w:pPr>
      <w:r>
        <w:rPr>
          <w:rFonts w:hint="eastAsia" w:ascii="宋体" w:hAnsi="宋体" w:cs="宋体"/>
          <w:sz w:val="24"/>
        </w:rPr>
        <w:t>1.3因磋商供应商只提供本文件要求的部分内容，给评审造成困难，其可能导致的结果和责任由磋商供应商自行承担。</w:t>
      </w:r>
    </w:p>
    <w:p>
      <w:pPr>
        <w:spacing w:line="500" w:lineRule="exact"/>
        <w:rPr>
          <w:rFonts w:ascii="宋体" w:hAnsi="宋体" w:cs="宋体"/>
          <w:sz w:val="24"/>
        </w:rPr>
      </w:pPr>
      <w:r>
        <w:rPr>
          <w:rFonts w:hint="eastAsia" w:ascii="宋体" w:hAnsi="宋体" w:cs="宋体"/>
          <w:sz w:val="24"/>
        </w:rPr>
        <w:t>1.4供应商编制的竞争性磋商响应件应包括但不少于下列内容：</w:t>
      </w:r>
    </w:p>
    <w:p>
      <w:pPr>
        <w:widowControl/>
        <w:spacing w:line="500" w:lineRule="exact"/>
        <w:jc w:val="left"/>
        <w:rPr>
          <w:rFonts w:ascii="宋体" w:hAnsi="宋体" w:cs="宋体"/>
          <w:sz w:val="24"/>
        </w:rPr>
      </w:pPr>
      <w:r>
        <w:rPr>
          <w:rFonts w:hint="eastAsia" w:ascii="宋体" w:hAnsi="宋体" w:cs="宋体"/>
          <w:sz w:val="24"/>
        </w:rPr>
        <w:t>（1）</w:t>
      </w:r>
      <w:r>
        <w:rPr>
          <w:rFonts w:hint="eastAsia" w:ascii="宋体" w:hAnsi="宋体" w:cs="宋体"/>
          <w:color w:val="000000"/>
          <w:kern w:val="0"/>
          <w:sz w:val="24"/>
        </w:rPr>
        <w:t>前述</w:t>
      </w:r>
      <w:r>
        <w:rPr>
          <w:rFonts w:hint="eastAsia" w:ascii="宋体" w:hAnsi="宋体" w:cs="宋体"/>
          <w:sz w:val="24"/>
        </w:rPr>
        <w:t>“供应商资格要求”中全部内容。</w:t>
      </w:r>
    </w:p>
    <w:p>
      <w:pPr>
        <w:widowControl/>
        <w:spacing w:line="500" w:lineRule="exact"/>
        <w:jc w:val="left"/>
        <w:rPr>
          <w:rFonts w:ascii="宋体" w:hAnsi="宋体" w:cs="宋体"/>
          <w:color w:val="000000"/>
          <w:kern w:val="0"/>
          <w:sz w:val="24"/>
        </w:rPr>
      </w:pPr>
      <w:r>
        <w:rPr>
          <w:rFonts w:hint="eastAsia" w:ascii="宋体" w:hAnsi="宋体" w:cs="宋体"/>
          <w:sz w:val="24"/>
        </w:rPr>
        <w:t>（2）</w:t>
      </w:r>
      <w:r>
        <w:rPr>
          <w:rFonts w:hint="eastAsia" w:ascii="宋体" w:hAnsi="宋体"/>
          <w:sz w:val="24"/>
        </w:rPr>
        <w:t>供应商</w:t>
      </w:r>
      <w:r>
        <w:rPr>
          <w:rFonts w:hint="eastAsia" w:ascii="宋体" w:hAnsi="宋体" w:cs="宋体"/>
          <w:color w:val="000000"/>
          <w:kern w:val="0"/>
          <w:sz w:val="24"/>
        </w:rPr>
        <w:t>法人身份证及授权委托书原件。</w:t>
      </w:r>
    </w:p>
    <w:p>
      <w:pPr>
        <w:widowControl/>
        <w:spacing w:line="500" w:lineRule="exact"/>
        <w:jc w:val="left"/>
        <w:rPr>
          <w:rFonts w:ascii="宋体" w:hAnsi="宋体" w:cs="宋体"/>
          <w:sz w:val="24"/>
        </w:rPr>
      </w:pPr>
      <w:r>
        <w:rPr>
          <w:rFonts w:hint="eastAsia" w:ascii="宋体" w:hAnsi="宋体" w:cs="宋体"/>
          <w:sz w:val="24"/>
        </w:rPr>
        <w:t>（3）磋商响应书。</w:t>
      </w:r>
    </w:p>
    <w:p>
      <w:pPr>
        <w:widowControl/>
        <w:spacing w:line="500" w:lineRule="exact"/>
        <w:jc w:val="left"/>
        <w:rPr>
          <w:rFonts w:ascii="宋体" w:hAnsi="宋体" w:cs="宋体"/>
          <w:sz w:val="24"/>
        </w:rPr>
      </w:pPr>
      <w:r>
        <w:rPr>
          <w:rFonts w:hint="eastAsia" w:ascii="宋体" w:hAnsi="宋体" w:cs="宋体"/>
          <w:sz w:val="24"/>
        </w:rPr>
        <w:t>（4）磋商报价表（首次报价）。</w:t>
      </w:r>
    </w:p>
    <w:p>
      <w:pPr>
        <w:widowControl/>
        <w:spacing w:line="500" w:lineRule="exact"/>
        <w:jc w:val="left"/>
        <w:rPr>
          <w:rFonts w:ascii="宋体" w:hAnsi="宋体" w:cs="宋体"/>
          <w:sz w:val="24"/>
        </w:rPr>
      </w:pPr>
      <w:r>
        <w:rPr>
          <w:rFonts w:hint="eastAsia" w:ascii="宋体" w:hAnsi="宋体" w:cs="宋体"/>
          <w:sz w:val="24"/>
        </w:rPr>
        <w:t>（5）技术响应、偏离说明表。</w:t>
      </w:r>
    </w:p>
    <w:p>
      <w:pPr>
        <w:widowControl/>
        <w:spacing w:line="500" w:lineRule="exact"/>
        <w:jc w:val="left"/>
        <w:rPr>
          <w:rFonts w:ascii="宋体" w:hAnsi="宋体" w:cs="宋体"/>
          <w:sz w:val="24"/>
        </w:rPr>
      </w:pPr>
      <w:r>
        <w:rPr>
          <w:rFonts w:hint="eastAsia" w:ascii="宋体" w:hAnsi="宋体" w:cs="宋体"/>
          <w:sz w:val="24"/>
        </w:rPr>
        <w:t>（6）商务响应、偏离说明表。</w:t>
      </w:r>
    </w:p>
    <w:p>
      <w:pPr>
        <w:spacing w:line="500" w:lineRule="exact"/>
        <w:rPr>
          <w:rFonts w:ascii="宋体" w:hAnsi="宋体" w:cs="宋体"/>
          <w:kern w:val="0"/>
          <w:sz w:val="24"/>
        </w:rPr>
      </w:pPr>
      <w:r>
        <w:rPr>
          <w:rFonts w:hint="eastAsia" w:ascii="宋体" w:hAnsi="宋体" w:cs="宋体"/>
          <w:sz w:val="24"/>
        </w:rPr>
        <w:t>（7）磋商供应商认为需要提供的其他相关资料。</w:t>
      </w:r>
    </w:p>
    <w:p>
      <w:pPr>
        <w:spacing w:line="500" w:lineRule="exact"/>
        <w:rPr>
          <w:rFonts w:ascii="宋体" w:hAnsi="宋体" w:cs="宋体"/>
          <w:sz w:val="24"/>
        </w:rPr>
      </w:pPr>
      <w:r>
        <w:rPr>
          <w:rFonts w:hint="eastAsia" w:ascii="宋体" w:hAnsi="宋体" w:cs="宋体"/>
          <w:sz w:val="24"/>
        </w:rPr>
        <w:t>1.5</w:t>
      </w:r>
      <w:r>
        <w:rPr>
          <w:rFonts w:hint="eastAsia"/>
          <w:bCs/>
          <w:sz w:val="24"/>
          <w:szCs w:val="24"/>
        </w:rPr>
        <w:t>计量单位</w:t>
      </w:r>
    </w:p>
    <w:p>
      <w:pPr>
        <w:spacing w:line="500" w:lineRule="exact"/>
        <w:ind w:firstLine="480" w:firstLineChars="200"/>
        <w:rPr>
          <w:rFonts w:ascii="宋体" w:hAnsi="宋体" w:cs="宋体"/>
          <w:bCs/>
          <w:sz w:val="24"/>
        </w:rPr>
      </w:pPr>
      <w:r>
        <w:rPr>
          <w:rFonts w:hint="eastAsia" w:ascii="宋体" w:hAnsi="宋体" w:cs="宋体"/>
          <w:bCs/>
          <w:sz w:val="24"/>
        </w:rPr>
        <w:t>除技术要求中另有规定外，本文件所要求使用的计量单位均应采用国家法定计量单位。</w:t>
      </w:r>
    </w:p>
    <w:p>
      <w:pPr>
        <w:spacing w:line="500" w:lineRule="exact"/>
        <w:rPr>
          <w:rStyle w:val="16"/>
          <w:rFonts w:ascii="宋体" w:hAnsi="宋体" w:cs="宋体"/>
          <w:sz w:val="24"/>
          <w:szCs w:val="24"/>
        </w:rPr>
      </w:pPr>
      <w:bookmarkStart w:id="27" w:name="_Toc528493165"/>
      <w:bookmarkStart w:id="28" w:name="_Toc528493084"/>
      <w:bookmarkStart w:id="29" w:name="_Toc528493577"/>
      <w:bookmarkStart w:id="30" w:name="_Toc528493132"/>
      <w:bookmarkStart w:id="31" w:name="_Toc528494280"/>
      <w:r>
        <w:rPr>
          <w:rStyle w:val="16"/>
          <w:rFonts w:hint="eastAsia" w:ascii="宋体" w:hAnsi="宋体" w:cs="宋体"/>
          <w:sz w:val="24"/>
          <w:szCs w:val="24"/>
        </w:rPr>
        <w:t>2．磋商报价要求</w:t>
      </w:r>
      <w:bookmarkEnd w:id="27"/>
      <w:bookmarkEnd w:id="28"/>
      <w:bookmarkEnd w:id="29"/>
      <w:bookmarkEnd w:id="30"/>
      <w:bookmarkEnd w:id="31"/>
    </w:p>
    <w:p>
      <w:pPr>
        <w:spacing w:line="500" w:lineRule="exact"/>
        <w:rPr>
          <w:rFonts w:ascii="宋体" w:hAnsi="宋体" w:cs="宋体"/>
          <w:sz w:val="24"/>
        </w:rPr>
      </w:pPr>
      <w:r>
        <w:rPr>
          <w:rFonts w:hint="eastAsia" w:ascii="宋体" w:hAnsi="宋体" w:cs="宋体"/>
          <w:sz w:val="24"/>
        </w:rPr>
        <w:t>2.1对于本文件中未列明，而磋商供应商认为必需的费用也需列入总报价。在合同实施时，采购人将不予支付成交供应商没有列入总报价的费用。</w:t>
      </w:r>
    </w:p>
    <w:p>
      <w:pPr>
        <w:spacing w:line="500" w:lineRule="exact"/>
        <w:rPr>
          <w:rFonts w:ascii="宋体" w:hAnsi="宋体" w:cs="宋体"/>
          <w:b/>
          <w:kern w:val="0"/>
          <w:sz w:val="24"/>
        </w:rPr>
      </w:pPr>
      <w:r>
        <w:rPr>
          <w:rFonts w:hint="eastAsia" w:ascii="宋体" w:hAnsi="宋体" w:cs="宋体"/>
          <w:sz w:val="24"/>
        </w:rPr>
        <w:t>2.2</w:t>
      </w:r>
      <w:r>
        <w:rPr>
          <w:rFonts w:hint="eastAsia" w:ascii="宋体" w:hAnsi="宋体" w:cs="宋体"/>
          <w:kern w:val="0"/>
          <w:sz w:val="24"/>
        </w:rPr>
        <w:t>供应商以人民币报价。</w:t>
      </w:r>
    </w:p>
    <w:p>
      <w:pPr>
        <w:spacing w:line="500" w:lineRule="exact"/>
        <w:rPr>
          <w:rFonts w:ascii="宋体" w:hAnsi="宋体" w:cs="宋体"/>
          <w:sz w:val="24"/>
        </w:rPr>
      </w:pPr>
      <w:r>
        <w:rPr>
          <w:rFonts w:hint="eastAsia" w:ascii="宋体" w:hAnsi="宋体" w:cs="宋体"/>
          <w:sz w:val="24"/>
        </w:rPr>
        <w:t>2.3磋商报价包括磋商供应商在首次提交的响应文件中的报价、磋商过程中的报价和最终报价。</w:t>
      </w:r>
    </w:p>
    <w:p>
      <w:pPr>
        <w:spacing w:line="500" w:lineRule="exact"/>
        <w:rPr>
          <w:rFonts w:ascii="宋体" w:hAnsi="宋体" w:cs="宋体"/>
          <w:b/>
          <w:bCs/>
          <w:sz w:val="24"/>
          <w:szCs w:val="24"/>
        </w:rPr>
      </w:pPr>
      <w:r>
        <w:rPr>
          <w:rFonts w:hint="eastAsia" w:ascii="宋体" w:hAnsi="宋体" w:cs="宋体"/>
          <w:b/>
          <w:bCs/>
          <w:sz w:val="24"/>
          <w:szCs w:val="24"/>
        </w:rPr>
        <w:t>3.磋商响应文件的份数和封装</w:t>
      </w:r>
    </w:p>
    <w:p>
      <w:pPr>
        <w:spacing w:line="500" w:lineRule="exact"/>
        <w:rPr>
          <w:rFonts w:ascii="宋体" w:hAnsi="宋体" w:cs="宋体"/>
          <w:bCs/>
          <w:sz w:val="24"/>
        </w:rPr>
      </w:pPr>
      <w:r>
        <w:rPr>
          <w:rFonts w:hint="eastAsia" w:ascii="宋体" w:hAnsi="宋体" w:cs="宋体"/>
          <w:bCs/>
          <w:sz w:val="24"/>
        </w:rPr>
        <w:t>3.1磋商供应商应编制竞争性磋商响应文件一式</w:t>
      </w:r>
      <w:r>
        <w:rPr>
          <w:rFonts w:hint="eastAsia" w:ascii="宋体" w:hAnsi="宋体" w:cs="宋体"/>
          <w:bCs/>
          <w:sz w:val="24"/>
          <w:lang w:eastAsia="zh-CN"/>
        </w:rPr>
        <w:t>三</w:t>
      </w:r>
      <w:r>
        <w:rPr>
          <w:rFonts w:hint="eastAsia" w:ascii="宋体" w:hAnsi="宋体" w:cs="宋体"/>
          <w:bCs/>
          <w:sz w:val="24"/>
        </w:rPr>
        <w:t>份，正本壹份、副本</w:t>
      </w:r>
      <w:r>
        <w:rPr>
          <w:rFonts w:hint="eastAsia" w:ascii="宋体" w:hAnsi="宋体" w:cs="宋体"/>
          <w:bCs/>
          <w:sz w:val="24"/>
          <w:lang w:eastAsia="zh-CN"/>
        </w:rPr>
        <w:t>贰</w:t>
      </w:r>
      <w:r>
        <w:rPr>
          <w:rFonts w:hint="eastAsia" w:ascii="宋体" w:hAnsi="宋体" w:cs="宋体"/>
          <w:bCs/>
          <w:sz w:val="24"/>
        </w:rPr>
        <w:t>份，每份文件注明“正本”、“副本”字样。磋商响应文件的副本与正本不符，以正本为准。磋商响应文件的正本和所有副本应单独密封。</w:t>
      </w:r>
    </w:p>
    <w:p>
      <w:pPr>
        <w:spacing w:line="500" w:lineRule="exact"/>
        <w:rPr>
          <w:rFonts w:ascii="宋体" w:hAnsi="宋体" w:cs="宋体"/>
          <w:bCs/>
          <w:sz w:val="24"/>
          <w:szCs w:val="22"/>
        </w:rPr>
      </w:pPr>
      <w:r>
        <w:rPr>
          <w:rFonts w:hint="eastAsia" w:ascii="宋体" w:hAnsi="宋体" w:cs="宋体"/>
          <w:bCs/>
          <w:sz w:val="24"/>
          <w:szCs w:val="22"/>
        </w:rPr>
        <w:t>3.</w:t>
      </w:r>
      <w:r>
        <w:rPr>
          <w:rFonts w:hint="eastAsia" w:ascii="宋体" w:hAnsi="宋体" w:cs="宋体"/>
          <w:bCs/>
          <w:sz w:val="24"/>
          <w:szCs w:val="22"/>
          <w:lang w:val="en-US" w:eastAsia="zh-CN"/>
        </w:rPr>
        <w:t>2</w:t>
      </w:r>
      <w:r>
        <w:rPr>
          <w:rFonts w:hint="eastAsia" w:ascii="宋体" w:hAnsi="宋体" w:cs="宋体"/>
          <w:bCs/>
          <w:sz w:val="24"/>
          <w:szCs w:val="22"/>
        </w:rPr>
        <w:t>竞争性磋商响应文件的密封袋上应写明竞争性磋商项目名称及磋商供应商名称并加盖公章。</w:t>
      </w:r>
    </w:p>
    <w:p>
      <w:pPr>
        <w:widowControl/>
        <w:spacing w:line="360" w:lineRule="auto"/>
        <w:jc w:val="left"/>
        <w:rPr>
          <w:rFonts w:ascii="宋体" w:hAnsi="宋体" w:cs="宋体"/>
          <w:color w:val="000000"/>
          <w:kern w:val="0"/>
          <w:sz w:val="24"/>
        </w:rPr>
      </w:pPr>
      <w:r>
        <w:rPr>
          <w:rFonts w:hint="eastAsia" w:ascii="宋体" w:hAnsi="宋体"/>
          <w:sz w:val="24"/>
        </w:rPr>
        <w:t>3.</w:t>
      </w:r>
      <w:r>
        <w:rPr>
          <w:rFonts w:hint="eastAsia" w:ascii="宋体" w:hAnsi="宋体"/>
          <w:sz w:val="24"/>
          <w:lang w:val="en-US" w:eastAsia="zh-CN"/>
        </w:rPr>
        <w:t>3</w:t>
      </w:r>
      <w:r>
        <w:rPr>
          <w:rFonts w:hint="eastAsia" w:ascii="宋体" w:hAnsi="宋体"/>
          <w:sz w:val="24"/>
        </w:rPr>
        <w:t xml:space="preserve"> 供应商必须保证</w:t>
      </w:r>
      <w:r>
        <w:rPr>
          <w:rFonts w:hint="eastAsia" w:ascii="宋体" w:hAnsi="宋体" w:cs="宋体"/>
          <w:bCs/>
          <w:sz w:val="24"/>
          <w:szCs w:val="22"/>
        </w:rPr>
        <w:t>竞争性磋商响应文件</w:t>
      </w:r>
      <w:r>
        <w:rPr>
          <w:rFonts w:hint="eastAsia" w:ascii="宋体" w:hAnsi="宋体"/>
          <w:sz w:val="24"/>
        </w:rPr>
        <w:t>所提供的全部资料真实可靠，并接受采购人或代理机构对其中任何资料的核实要求。如果因为</w:t>
      </w:r>
      <w:r>
        <w:rPr>
          <w:rFonts w:hint="eastAsia" w:ascii="宋体" w:hAnsi="宋体" w:cs="宋体"/>
          <w:bCs/>
          <w:sz w:val="24"/>
          <w:szCs w:val="22"/>
        </w:rPr>
        <w:t>竞争性磋商响应文件</w:t>
      </w:r>
      <w:r>
        <w:rPr>
          <w:rFonts w:hint="eastAsia" w:ascii="宋体" w:hAnsi="宋体"/>
          <w:sz w:val="24"/>
        </w:rPr>
        <w:t>内容不详，或没有提供</w:t>
      </w:r>
      <w:r>
        <w:rPr>
          <w:rFonts w:hint="eastAsia" w:ascii="宋体" w:hAnsi="宋体" w:cs="宋体"/>
          <w:bCs/>
          <w:sz w:val="24"/>
          <w:szCs w:val="22"/>
        </w:rPr>
        <w:t>竞争性磋商响应文件</w:t>
      </w:r>
      <w:r>
        <w:rPr>
          <w:rFonts w:hint="eastAsia" w:ascii="宋体" w:hAnsi="宋体"/>
          <w:sz w:val="24"/>
        </w:rPr>
        <w:t>中所要求的资料及数据，或提供</w:t>
      </w:r>
      <w:r>
        <w:rPr>
          <w:rFonts w:hint="eastAsia" w:ascii="宋体" w:hAnsi="宋体" w:cs="宋体"/>
          <w:color w:val="000000"/>
          <w:kern w:val="0"/>
          <w:sz w:val="24"/>
        </w:rPr>
        <w:t>虚假文件，由此造成的后果由供应商负责。</w:t>
      </w:r>
    </w:p>
    <w:p>
      <w:pPr>
        <w:spacing w:line="500" w:lineRule="exact"/>
        <w:rPr>
          <w:rFonts w:ascii="宋体" w:hAnsi="宋体" w:cs="宋体"/>
          <w:b/>
          <w:bCs/>
          <w:sz w:val="24"/>
          <w:szCs w:val="24"/>
        </w:rPr>
      </w:pPr>
      <w:r>
        <w:rPr>
          <w:rFonts w:hint="eastAsia" w:ascii="宋体" w:hAnsi="宋体" w:cs="宋体"/>
          <w:b/>
          <w:bCs/>
          <w:sz w:val="24"/>
          <w:szCs w:val="24"/>
        </w:rPr>
        <w:t>4．磋商响应文件的递交</w:t>
      </w:r>
    </w:p>
    <w:p>
      <w:pPr>
        <w:spacing w:line="500" w:lineRule="exact"/>
        <w:rPr>
          <w:rFonts w:ascii="宋体" w:hAnsi="宋体" w:cs="宋体"/>
          <w:bCs/>
          <w:sz w:val="24"/>
        </w:rPr>
      </w:pPr>
      <w:r>
        <w:rPr>
          <w:rFonts w:hint="eastAsia" w:ascii="宋体" w:hAnsi="宋体" w:cs="宋体"/>
          <w:bCs/>
          <w:sz w:val="24"/>
        </w:rPr>
        <w:t>4.1所有竞争性磋商响应文件应按规定时间，由磋商代表递交到规定的地点。</w:t>
      </w:r>
    </w:p>
    <w:p>
      <w:pPr>
        <w:spacing w:line="500" w:lineRule="exact"/>
        <w:rPr>
          <w:rFonts w:ascii="宋体" w:hAnsi="宋体" w:cs="宋体"/>
          <w:sz w:val="24"/>
        </w:rPr>
      </w:pPr>
      <w:r>
        <w:rPr>
          <w:rFonts w:hint="eastAsia" w:ascii="宋体" w:hAnsi="宋体" w:cs="宋体"/>
          <w:bCs/>
          <w:sz w:val="24"/>
        </w:rPr>
        <w:t>4.2</w:t>
      </w:r>
      <w:r>
        <w:rPr>
          <w:rFonts w:hint="eastAsia" w:ascii="宋体" w:hAnsi="宋体" w:cs="宋体"/>
          <w:sz w:val="24"/>
        </w:rPr>
        <w:t>供应商必须派授权代表参加磋商会议，递交磋商响应文件时应出具法定代表人合法有效的授权委托书和身份证明（如法定代表人到场只需提供法定代表人身份证明）。</w:t>
      </w:r>
    </w:p>
    <w:p>
      <w:pPr>
        <w:spacing w:line="500" w:lineRule="exact"/>
        <w:rPr>
          <w:rFonts w:ascii="宋体" w:hAnsi="宋体" w:cs="宋体"/>
          <w:bCs/>
          <w:sz w:val="24"/>
        </w:rPr>
      </w:pPr>
      <w:r>
        <w:rPr>
          <w:rFonts w:hint="eastAsia" w:ascii="宋体" w:hAnsi="宋体" w:cs="宋体"/>
          <w:bCs/>
          <w:sz w:val="24"/>
        </w:rPr>
        <w:t>4.3</w:t>
      </w:r>
      <w:r>
        <w:rPr>
          <w:rFonts w:hint="eastAsia" w:ascii="宋体" w:hAnsi="宋体" w:cs="宋体"/>
          <w:sz w:val="24"/>
        </w:rPr>
        <w:t>磋商响应文件用纸外形尺寸统一为A4规格。</w:t>
      </w:r>
    </w:p>
    <w:p>
      <w:pPr>
        <w:spacing w:line="500" w:lineRule="exact"/>
        <w:rPr>
          <w:rFonts w:ascii="宋体" w:hAnsi="宋体" w:cs="宋体"/>
          <w:sz w:val="24"/>
        </w:rPr>
      </w:pPr>
      <w:r>
        <w:rPr>
          <w:rFonts w:hint="eastAsia" w:ascii="宋体" w:hAnsi="宋体" w:cs="宋体"/>
          <w:sz w:val="24"/>
        </w:rPr>
        <w:t>4.4按《中华人民共和国政府采购法》规定，采购人或代理机构将拒绝或原封退回在其规定的递交竞争性磋商响应文件截止时间之后收到的任何竞争性磋商响应文件。</w:t>
      </w:r>
    </w:p>
    <w:p>
      <w:pPr>
        <w:autoSpaceDE w:val="0"/>
        <w:autoSpaceDN w:val="0"/>
        <w:adjustRightInd w:val="0"/>
        <w:snapToGrid w:val="0"/>
        <w:spacing w:before="3" w:line="500" w:lineRule="exact"/>
        <w:ind w:right="32"/>
        <w:rPr>
          <w:rFonts w:ascii="宋体" w:hAnsi="宋体" w:cs="宋体"/>
          <w:kern w:val="0"/>
          <w:sz w:val="24"/>
        </w:rPr>
      </w:pPr>
      <w:r>
        <w:rPr>
          <w:rFonts w:hint="eastAsia" w:ascii="宋体" w:hAnsi="宋体" w:cs="宋体"/>
          <w:kern w:val="0"/>
          <w:sz w:val="24"/>
        </w:rPr>
        <w:t>4.5供应商在递交响应文件后，在响应文件递交截止时间之前，可以撤回其响应文件，但必须提前以书面形式告知。</w:t>
      </w:r>
    </w:p>
    <w:p>
      <w:pPr>
        <w:pStyle w:val="6"/>
        <w:adjustRightInd w:val="0"/>
        <w:snapToGrid w:val="0"/>
        <w:spacing w:line="500" w:lineRule="exact"/>
        <w:ind w:right="32"/>
        <w:rPr>
          <w:rFonts w:hAnsi="宋体" w:cs="宋体"/>
          <w:kern w:val="0"/>
          <w:sz w:val="24"/>
          <w:szCs w:val="24"/>
        </w:rPr>
      </w:pPr>
      <w:r>
        <w:rPr>
          <w:rFonts w:hint="eastAsia" w:hAnsi="宋体" w:cs="宋体"/>
          <w:kern w:val="0"/>
          <w:sz w:val="24"/>
          <w:szCs w:val="24"/>
        </w:rPr>
        <w:t>4.6从磋商响应文件递交截止时间起至磋商文件中确定的磋商有效期期满这段时间内，供应商不得撤回其响应文件。</w:t>
      </w:r>
    </w:p>
    <w:p>
      <w:pPr>
        <w:pStyle w:val="6"/>
        <w:adjustRightInd w:val="0"/>
        <w:snapToGrid w:val="0"/>
        <w:spacing w:line="500" w:lineRule="exact"/>
        <w:ind w:right="32"/>
        <w:rPr>
          <w:rFonts w:hAnsi="宋体" w:cs="宋体"/>
          <w:sz w:val="24"/>
          <w:szCs w:val="24"/>
        </w:rPr>
      </w:pPr>
      <w:r>
        <w:rPr>
          <w:rFonts w:hint="eastAsia" w:hAnsi="宋体" w:cs="宋体"/>
          <w:sz w:val="24"/>
          <w:szCs w:val="24"/>
        </w:rPr>
        <w:t>4.7供应商所提交的响应文件在磋商结束后，无论成交与否都不予退还。</w:t>
      </w:r>
    </w:p>
    <w:p>
      <w:pPr>
        <w:adjustRightInd w:val="0"/>
        <w:snapToGrid w:val="0"/>
        <w:spacing w:line="500" w:lineRule="exact"/>
        <w:rPr>
          <w:rFonts w:ascii="宋体" w:hAnsi="宋体" w:cs="宋体"/>
          <w:b/>
          <w:sz w:val="28"/>
          <w:szCs w:val="28"/>
        </w:rPr>
      </w:pPr>
      <w:r>
        <w:rPr>
          <w:rFonts w:hint="eastAsia" w:ascii="宋体" w:hAnsi="宋体" w:cs="宋体"/>
          <w:b/>
          <w:sz w:val="24"/>
          <w:szCs w:val="24"/>
        </w:rPr>
        <w:t>四</w:t>
      </w:r>
      <w:r>
        <w:rPr>
          <w:rFonts w:hint="eastAsia" w:ascii="宋体" w:hAnsi="宋体" w:cs="宋体"/>
          <w:b/>
          <w:sz w:val="28"/>
          <w:szCs w:val="28"/>
        </w:rPr>
        <w:t>、</w:t>
      </w:r>
      <w:r>
        <w:rPr>
          <w:rStyle w:val="16"/>
          <w:rFonts w:hint="eastAsia" w:ascii="宋体" w:hAnsi="宋体" w:cs="宋体"/>
          <w:sz w:val="24"/>
          <w:szCs w:val="24"/>
        </w:rPr>
        <w:t>磋商有效期</w:t>
      </w:r>
    </w:p>
    <w:p>
      <w:pPr>
        <w:tabs>
          <w:tab w:val="left" w:pos="8280"/>
        </w:tabs>
        <w:autoSpaceDE w:val="0"/>
        <w:autoSpaceDN w:val="0"/>
        <w:adjustRightInd w:val="0"/>
        <w:snapToGrid w:val="0"/>
        <w:spacing w:line="500" w:lineRule="exact"/>
        <w:ind w:right="32" w:firstLine="480" w:firstLineChars="200"/>
        <w:rPr>
          <w:rFonts w:ascii="宋体" w:hAnsi="宋体" w:cs="宋体"/>
          <w:kern w:val="0"/>
          <w:sz w:val="24"/>
        </w:rPr>
      </w:pPr>
      <w:r>
        <w:rPr>
          <w:rFonts w:hint="eastAsia" w:ascii="宋体" w:hAnsi="宋体" w:cs="宋体"/>
          <w:kern w:val="0"/>
          <w:sz w:val="24"/>
        </w:rPr>
        <w:t>磋商有效期为从磋商之日起共30天。</w:t>
      </w:r>
    </w:p>
    <w:p>
      <w:pPr>
        <w:autoSpaceDE w:val="0"/>
        <w:autoSpaceDN w:val="0"/>
        <w:adjustRightInd w:val="0"/>
        <w:snapToGrid w:val="0"/>
        <w:spacing w:line="500" w:lineRule="exact"/>
        <w:ind w:right="32"/>
        <w:rPr>
          <w:rFonts w:ascii="宋体" w:hAnsi="宋体" w:cs="宋体"/>
          <w:b/>
          <w:bCs/>
          <w:sz w:val="24"/>
          <w:szCs w:val="24"/>
        </w:rPr>
      </w:pPr>
      <w:r>
        <w:rPr>
          <w:rFonts w:hint="eastAsia" w:ascii="宋体" w:hAnsi="宋体" w:cs="宋体"/>
          <w:b/>
          <w:bCs/>
          <w:sz w:val="24"/>
          <w:szCs w:val="24"/>
        </w:rPr>
        <w:t>五、磋商办法</w:t>
      </w:r>
    </w:p>
    <w:p>
      <w:pPr>
        <w:autoSpaceDE w:val="0"/>
        <w:autoSpaceDN w:val="0"/>
        <w:adjustRightInd w:val="0"/>
        <w:snapToGrid w:val="0"/>
        <w:spacing w:line="500" w:lineRule="exact"/>
        <w:ind w:right="32"/>
        <w:rPr>
          <w:rFonts w:ascii="宋体" w:hAnsi="宋体" w:cs="宋体"/>
          <w:bCs/>
          <w:kern w:val="0"/>
          <w:sz w:val="24"/>
        </w:rPr>
      </w:pPr>
      <w:r>
        <w:rPr>
          <w:rFonts w:hint="eastAsia" w:ascii="宋体" w:hAnsi="宋体" w:cs="宋体"/>
          <w:bCs/>
          <w:sz w:val="24"/>
        </w:rPr>
        <w:t>1.</w:t>
      </w:r>
      <w:r>
        <w:rPr>
          <w:rFonts w:hint="eastAsia" w:ascii="宋体" w:hAnsi="宋体" w:cs="宋体"/>
          <w:kern w:val="0"/>
          <w:sz w:val="24"/>
        </w:rPr>
        <w:t>磋商小组依照有关法规组建。磋商小组成员由3人单数组成，分别是采购人代表和随机抽取的政府采购专家库的技术、经济等方</w:t>
      </w:r>
      <w:r>
        <w:rPr>
          <w:rFonts w:hint="eastAsia" w:ascii="宋体" w:hAnsi="宋体" w:cs="宋体"/>
          <w:bCs/>
          <w:kern w:val="0"/>
          <w:sz w:val="24"/>
        </w:rPr>
        <w:t>面的评审专家。</w:t>
      </w:r>
    </w:p>
    <w:p>
      <w:pPr>
        <w:autoSpaceDE w:val="0"/>
        <w:autoSpaceDN w:val="0"/>
        <w:adjustRightInd w:val="0"/>
        <w:snapToGrid w:val="0"/>
        <w:spacing w:line="500" w:lineRule="exact"/>
        <w:ind w:right="32"/>
        <w:rPr>
          <w:rFonts w:ascii="宋体" w:hAnsi="宋体" w:cs="宋体"/>
          <w:bCs/>
          <w:kern w:val="0"/>
          <w:sz w:val="24"/>
        </w:rPr>
      </w:pPr>
      <w:r>
        <w:rPr>
          <w:rFonts w:hint="eastAsia" w:ascii="宋体" w:hAnsi="宋体" w:cs="宋体"/>
          <w:bCs/>
          <w:kern w:val="0"/>
          <w:sz w:val="24"/>
        </w:rPr>
        <w:t>2.磋商小组负责对供应商进行符合性审查、商务评审和技术评审。</w:t>
      </w:r>
    </w:p>
    <w:p>
      <w:pPr>
        <w:autoSpaceDE w:val="0"/>
        <w:autoSpaceDN w:val="0"/>
        <w:adjustRightInd w:val="0"/>
        <w:snapToGrid w:val="0"/>
        <w:spacing w:line="500" w:lineRule="exact"/>
        <w:ind w:right="32"/>
        <w:rPr>
          <w:rFonts w:ascii="宋体" w:hAnsi="宋体" w:cs="宋体"/>
          <w:bCs/>
          <w:sz w:val="24"/>
          <w:szCs w:val="24"/>
        </w:rPr>
      </w:pPr>
      <w:r>
        <w:rPr>
          <w:rFonts w:hint="eastAsia" w:ascii="宋体" w:hAnsi="宋体" w:cs="宋体"/>
          <w:kern w:val="0"/>
          <w:sz w:val="24"/>
        </w:rPr>
        <w:t>3.磋商小组</w:t>
      </w:r>
      <w:r>
        <w:rPr>
          <w:rFonts w:hint="eastAsia" w:ascii="宋体" w:hAnsi="宋体" w:cs="宋体"/>
          <w:bCs/>
          <w:sz w:val="24"/>
        </w:rPr>
        <w:t>依据符合性审查表审查各供应商是否符合磋商资格要求。符合要求的供应商进入磋商环节。</w:t>
      </w:r>
    </w:p>
    <w:p>
      <w:pPr>
        <w:autoSpaceDE w:val="0"/>
        <w:autoSpaceDN w:val="0"/>
        <w:adjustRightInd w:val="0"/>
        <w:snapToGrid w:val="0"/>
        <w:spacing w:line="500" w:lineRule="exact"/>
        <w:ind w:right="32"/>
        <w:rPr>
          <w:rFonts w:ascii="宋体" w:hAnsi="宋体" w:cs="宋体"/>
          <w:b/>
          <w:kern w:val="0"/>
          <w:sz w:val="28"/>
          <w:szCs w:val="28"/>
        </w:rPr>
      </w:pPr>
      <w:r>
        <w:rPr>
          <w:rFonts w:hint="eastAsia" w:ascii="宋体" w:hAnsi="宋体" w:cs="宋体"/>
          <w:bCs/>
          <w:sz w:val="24"/>
        </w:rPr>
        <w:t>4.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pPr>
        <w:autoSpaceDE w:val="0"/>
        <w:autoSpaceDN w:val="0"/>
        <w:adjustRightInd w:val="0"/>
        <w:snapToGrid w:val="0"/>
        <w:spacing w:line="500" w:lineRule="exact"/>
        <w:ind w:right="32"/>
        <w:rPr>
          <w:rFonts w:ascii="宋体" w:hAnsi="宋体" w:cs="宋体"/>
          <w:kern w:val="0"/>
          <w:sz w:val="24"/>
        </w:rPr>
      </w:pPr>
      <w:r>
        <w:rPr>
          <w:rFonts w:hint="eastAsia" w:ascii="宋体" w:hAnsi="宋体" w:cs="宋体"/>
          <w:kern w:val="0"/>
          <w:sz w:val="24"/>
        </w:rPr>
        <w:t>5.磋商小组按照磋商文件确定的磋商步骤及方法集体与单一的供应商分别进行磋商，磋商顺序现场抽签确定。</w:t>
      </w:r>
    </w:p>
    <w:p>
      <w:pPr>
        <w:autoSpaceDE w:val="0"/>
        <w:autoSpaceDN w:val="0"/>
        <w:adjustRightInd w:val="0"/>
        <w:snapToGrid w:val="0"/>
        <w:spacing w:line="500" w:lineRule="exact"/>
        <w:ind w:right="32"/>
        <w:rPr>
          <w:rFonts w:ascii="宋体" w:hAnsi="宋体" w:cs="宋体"/>
          <w:bCs/>
          <w:sz w:val="24"/>
        </w:rPr>
      </w:pPr>
      <w:r>
        <w:rPr>
          <w:rFonts w:hint="eastAsia" w:ascii="宋体" w:hAnsi="宋体" w:cs="宋体"/>
          <w:bCs/>
          <w:sz w:val="24"/>
        </w:rPr>
        <w:t>6.第一轮磋商，磋商小组按已确定的磋商顺序，与单一供应商分别就符合采购需求、质量、技术服务、售后服务等进行磋商，并了解其报价组成情况。磋商中，磋商的任何一方不得透露与磋商有关的其他供应商的技术资料、价格和其他的信息。磋商小组一致确定响应供应商符合磋商文件要求的，按磋商文件设定的方法和标准确定成交候选人。</w:t>
      </w:r>
    </w:p>
    <w:p>
      <w:pPr>
        <w:autoSpaceDE w:val="0"/>
        <w:autoSpaceDN w:val="0"/>
        <w:adjustRightInd w:val="0"/>
        <w:snapToGrid w:val="0"/>
        <w:spacing w:line="500" w:lineRule="exact"/>
        <w:ind w:right="32"/>
        <w:rPr>
          <w:rFonts w:ascii="宋体" w:hAnsi="宋体" w:cs="宋体"/>
          <w:bCs/>
          <w:sz w:val="24"/>
        </w:rPr>
      </w:pPr>
      <w:r>
        <w:rPr>
          <w:rFonts w:hint="eastAsia" w:ascii="宋体" w:hAnsi="宋体" w:cs="宋体"/>
          <w:bCs/>
          <w:sz w:val="24"/>
        </w:rPr>
        <w:t>7.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通知所有参加磋商的供应商。</w:t>
      </w:r>
    </w:p>
    <w:p>
      <w:pPr>
        <w:autoSpaceDE w:val="0"/>
        <w:autoSpaceDN w:val="0"/>
        <w:adjustRightInd w:val="0"/>
        <w:snapToGrid w:val="0"/>
        <w:spacing w:line="500" w:lineRule="exact"/>
        <w:ind w:right="32"/>
        <w:rPr>
          <w:rFonts w:ascii="宋体" w:hAnsi="宋体" w:cs="宋体"/>
          <w:bCs/>
          <w:sz w:val="24"/>
        </w:rPr>
      </w:pPr>
      <w:r>
        <w:rPr>
          <w:rFonts w:hint="eastAsia" w:ascii="宋体" w:hAnsi="宋体" w:cs="宋体"/>
          <w:bCs/>
          <w:sz w:val="24"/>
        </w:rPr>
        <w:t>8.响应供应商应当按照磋商文件的变动情况和磋商小组的要求重新提交响应文件，并由其法定代表人或授权代表签字或者加盖公章。</w:t>
      </w:r>
    </w:p>
    <w:p>
      <w:pPr>
        <w:autoSpaceDE w:val="0"/>
        <w:autoSpaceDN w:val="0"/>
        <w:adjustRightInd w:val="0"/>
        <w:snapToGrid w:val="0"/>
        <w:spacing w:line="500" w:lineRule="exact"/>
        <w:ind w:right="32"/>
        <w:rPr>
          <w:rFonts w:ascii="宋体" w:hAnsi="宋体" w:cs="宋体"/>
          <w:bCs/>
          <w:sz w:val="24"/>
        </w:rPr>
      </w:pPr>
      <w:r>
        <w:rPr>
          <w:rFonts w:hint="eastAsia" w:ascii="宋体" w:hAnsi="宋体" w:cs="宋体"/>
          <w:bCs/>
          <w:sz w:val="24"/>
        </w:rPr>
        <w:t>9.第一轮磋商结束后，磋商小组进行合议。根据第一轮磋商掌握的情况，可以对磋商文件进行修改，确定采购内容的详细规格或具体要求，优化采购方案。</w:t>
      </w:r>
    </w:p>
    <w:p>
      <w:pPr>
        <w:autoSpaceDE w:val="0"/>
        <w:autoSpaceDN w:val="0"/>
        <w:adjustRightInd w:val="0"/>
        <w:snapToGrid w:val="0"/>
        <w:spacing w:line="500" w:lineRule="exact"/>
        <w:ind w:right="32"/>
        <w:rPr>
          <w:rFonts w:ascii="宋体" w:hAnsi="宋体" w:cs="宋体"/>
          <w:bCs/>
          <w:sz w:val="24"/>
        </w:rPr>
      </w:pPr>
      <w:r>
        <w:rPr>
          <w:rFonts w:hint="eastAsia" w:ascii="宋体" w:hAnsi="宋体" w:cs="宋体"/>
          <w:bCs/>
          <w:sz w:val="24"/>
        </w:rPr>
        <w:t>10.磋商小组将磋商文件的修改结果以书面形式通知所有响应供应商，并向响应供应商提供较充分的修正时间。</w:t>
      </w:r>
    </w:p>
    <w:p>
      <w:pPr>
        <w:autoSpaceDE w:val="0"/>
        <w:autoSpaceDN w:val="0"/>
        <w:adjustRightInd w:val="0"/>
        <w:snapToGrid w:val="0"/>
        <w:spacing w:line="500" w:lineRule="exact"/>
        <w:ind w:right="32"/>
        <w:rPr>
          <w:rFonts w:ascii="宋体" w:hAnsi="宋体" w:cs="宋体"/>
          <w:bCs/>
          <w:sz w:val="24"/>
        </w:rPr>
      </w:pPr>
      <w:r>
        <w:rPr>
          <w:rFonts w:hint="eastAsia" w:ascii="宋体" w:hAnsi="宋体" w:cs="宋体"/>
          <w:bCs/>
          <w:sz w:val="24"/>
        </w:rPr>
        <w:t>11.响应供应商根据第一轮磋商情况和磋商文件修改书面通知，对原响应文件进行修正，并将修正文件签字（盖章）后密封送交磋商小组。超过规定时限未送交的，视同放弃磋商。修正文件与响应文件同具法律效力。</w:t>
      </w:r>
    </w:p>
    <w:p>
      <w:pPr>
        <w:autoSpaceDE w:val="0"/>
        <w:autoSpaceDN w:val="0"/>
        <w:adjustRightInd w:val="0"/>
        <w:snapToGrid w:val="0"/>
        <w:spacing w:line="500" w:lineRule="exact"/>
        <w:ind w:right="32"/>
        <w:rPr>
          <w:rFonts w:ascii="宋体" w:hAnsi="宋体" w:cs="宋体"/>
          <w:bCs/>
          <w:sz w:val="24"/>
        </w:rPr>
      </w:pPr>
      <w:r>
        <w:rPr>
          <w:rFonts w:hint="eastAsia" w:ascii="宋体" w:hAnsi="宋体" w:cs="宋体"/>
          <w:bCs/>
          <w:sz w:val="24"/>
        </w:rPr>
        <w:t>12.最终报价</w:t>
      </w:r>
    </w:p>
    <w:p>
      <w:pPr>
        <w:autoSpaceDE w:val="0"/>
        <w:autoSpaceDN w:val="0"/>
        <w:adjustRightInd w:val="0"/>
        <w:snapToGrid w:val="0"/>
        <w:spacing w:line="500" w:lineRule="exact"/>
        <w:ind w:right="32"/>
        <w:rPr>
          <w:rFonts w:ascii="宋体" w:hAnsi="宋体" w:cs="宋体"/>
          <w:bCs/>
          <w:sz w:val="24"/>
        </w:rPr>
      </w:pPr>
      <w:r>
        <w:rPr>
          <w:rFonts w:hint="eastAsia" w:ascii="宋体" w:hAnsi="宋体" w:cs="宋体"/>
          <w:bCs/>
          <w:sz w:val="24"/>
        </w:rPr>
        <w:t>12.1符合条件的响应供应商作最后报价。</w:t>
      </w:r>
    </w:p>
    <w:p>
      <w:pPr>
        <w:spacing w:line="500" w:lineRule="exact"/>
        <w:rPr>
          <w:rFonts w:ascii="宋体" w:hAnsi="宋体" w:cs="宋体"/>
          <w:bCs/>
          <w:sz w:val="24"/>
        </w:rPr>
      </w:pPr>
      <w:r>
        <w:rPr>
          <w:rFonts w:hint="eastAsia" w:ascii="宋体" w:hAnsi="宋体" w:cs="宋体"/>
          <w:bCs/>
          <w:sz w:val="24"/>
        </w:rPr>
        <w:t>12.2在最终报价期间，各供应商之间不得相互协商、讨论。后果严重的将交由监管部门按相关法律法规处罚。</w:t>
      </w:r>
    </w:p>
    <w:p>
      <w:pPr>
        <w:spacing w:line="500" w:lineRule="exact"/>
        <w:rPr>
          <w:rFonts w:ascii="宋体" w:hAnsi="宋体" w:cs="宋体"/>
          <w:bCs/>
          <w:sz w:val="24"/>
        </w:rPr>
      </w:pPr>
      <w:r>
        <w:rPr>
          <w:rFonts w:hint="eastAsia" w:ascii="宋体" w:hAnsi="宋体" w:cs="宋体"/>
          <w:bCs/>
          <w:sz w:val="24"/>
        </w:rPr>
        <w:t>12.3磋商小组要求所有继续参加磋商的供应商在规定时间内提交最终报价，提交最终报价的供应商不得少于3家。</w:t>
      </w:r>
    </w:p>
    <w:p>
      <w:pPr>
        <w:spacing w:line="500" w:lineRule="exact"/>
        <w:rPr>
          <w:rFonts w:ascii="宋体" w:hAnsi="宋体" w:cs="宋体"/>
          <w:bCs/>
          <w:sz w:val="24"/>
        </w:rPr>
      </w:pPr>
      <w:r>
        <w:rPr>
          <w:rFonts w:hint="eastAsia" w:ascii="宋体" w:hAnsi="宋体" w:cs="宋体"/>
          <w:bCs/>
          <w:sz w:val="24"/>
        </w:rPr>
        <w:t>12.4竞争性磋商文件无实质性变动的最终报价不得超过首次报价。已提交响应文件但未在规定时间内进行最终报价的供应商，视为放弃最终报价，以供应商响应文件中的报价为准。</w:t>
      </w:r>
    </w:p>
    <w:p>
      <w:pPr>
        <w:spacing w:line="500" w:lineRule="exact"/>
        <w:rPr>
          <w:rFonts w:ascii="宋体" w:hAnsi="宋体" w:cs="宋体"/>
          <w:bCs/>
          <w:sz w:val="24"/>
        </w:rPr>
      </w:pPr>
      <w:r>
        <w:rPr>
          <w:rFonts w:hint="eastAsia" w:ascii="宋体" w:hAnsi="宋体" w:cs="宋体"/>
          <w:bCs/>
          <w:sz w:val="24"/>
        </w:rPr>
        <w:t>12.5最终报价是供应商响应文件的有效组成部分。</w:t>
      </w:r>
    </w:p>
    <w:p>
      <w:pPr>
        <w:spacing w:line="500" w:lineRule="exact"/>
        <w:rPr>
          <w:rStyle w:val="16"/>
          <w:rFonts w:ascii="宋体" w:hAnsi="宋体" w:cs="宋体"/>
          <w:sz w:val="24"/>
          <w:szCs w:val="24"/>
        </w:rPr>
      </w:pPr>
      <w:bookmarkStart w:id="32" w:name="_Toc528494284"/>
      <w:r>
        <w:rPr>
          <w:rStyle w:val="16"/>
          <w:rFonts w:hint="eastAsia" w:ascii="宋体" w:hAnsi="宋体" w:cs="宋体"/>
          <w:sz w:val="24"/>
          <w:szCs w:val="24"/>
        </w:rPr>
        <w:t>六、确定成交供应商办法</w:t>
      </w:r>
      <w:bookmarkEnd w:id="32"/>
    </w:p>
    <w:p>
      <w:pPr>
        <w:spacing w:line="500" w:lineRule="exact"/>
        <w:rPr>
          <w:rFonts w:ascii="宋体" w:hAnsi="宋体" w:cs="宋体"/>
          <w:b/>
          <w:bCs/>
          <w:sz w:val="24"/>
          <w:szCs w:val="24"/>
        </w:rPr>
      </w:pPr>
      <w:r>
        <w:rPr>
          <w:rFonts w:hint="eastAsia" w:ascii="宋体" w:hAnsi="宋体" w:cs="宋体"/>
          <w:b/>
          <w:bCs/>
          <w:sz w:val="24"/>
          <w:szCs w:val="24"/>
        </w:rPr>
        <w:t>1、本次确定成交供应商的办法为综合评分法</w:t>
      </w:r>
    </w:p>
    <w:p>
      <w:pPr>
        <w:spacing w:line="500" w:lineRule="exact"/>
        <w:rPr>
          <w:rFonts w:ascii="宋体" w:hAnsi="宋体" w:cs="宋体"/>
          <w:bCs/>
          <w:sz w:val="24"/>
        </w:rPr>
      </w:pPr>
      <w:r>
        <w:rPr>
          <w:rFonts w:hint="eastAsia" w:ascii="宋体" w:hAnsi="宋体" w:cs="宋体"/>
          <w:bCs/>
          <w:sz w:val="24"/>
        </w:rPr>
        <w:t>1.1综合评分法是指响应文件满足磋商文件全部实质性要求且按评审因素的量化指标评审得分最高的供应商为成交候选供应商的评审方法。</w:t>
      </w:r>
    </w:p>
    <w:p>
      <w:pPr>
        <w:spacing w:line="500" w:lineRule="exact"/>
        <w:rPr>
          <w:rFonts w:ascii="宋体" w:hAnsi="宋体" w:cs="宋体"/>
          <w:bCs/>
          <w:sz w:val="24"/>
        </w:rPr>
      </w:pPr>
      <w:r>
        <w:rPr>
          <w:rFonts w:hint="eastAsia" w:ascii="宋体" w:hAnsi="宋体" w:cs="宋体"/>
          <w:bCs/>
          <w:sz w:val="24"/>
        </w:rPr>
        <w:t>1.2磋商小组只要求商务、质量和服务评审合格的响应供应商在规定的时间内进行报价。</w:t>
      </w:r>
    </w:p>
    <w:p>
      <w:pPr>
        <w:spacing w:line="500" w:lineRule="exact"/>
        <w:rPr>
          <w:rFonts w:ascii="宋体" w:hAnsi="宋体" w:cs="宋体"/>
          <w:bCs/>
          <w:sz w:val="24"/>
        </w:rPr>
      </w:pPr>
      <w:r>
        <w:rPr>
          <w:rFonts w:hint="eastAsia" w:ascii="宋体" w:hAnsi="宋体" w:cs="宋体"/>
          <w:bCs/>
          <w:sz w:val="24"/>
        </w:rPr>
        <w:t>1.3磋商小组将根据需要决定是否要求所有合格的响应供应商在规定时间内进行第二次或最终报价，最终报价将作为价格评比的最终依据。</w:t>
      </w:r>
    </w:p>
    <w:p>
      <w:pPr>
        <w:spacing w:line="500" w:lineRule="exact"/>
        <w:rPr>
          <w:rFonts w:ascii="宋体" w:hAnsi="宋体" w:cs="宋体"/>
          <w:bCs/>
          <w:sz w:val="24"/>
        </w:rPr>
      </w:pPr>
      <w:r>
        <w:rPr>
          <w:rFonts w:hint="eastAsia" w:ascii="宋体" w:hAnsi="宋体" w:cs="宋体"/>
          <w:bCs/>
          <w:sz w:val="24"/>
        </w:rPr>
        <w:t>1.4经磋商确定最终采购需求和提交最终报价的供应商后，由磋商小组采用综合评分法对提交最后报价的供应商的响应文件和最后报价进行综合评分。</w:t>
      </w:r>
    </w:p>
    <w:p>
      <w:pPr>
        <w:spacing w:line="500" w:lineRule="exact"/>
        <w:rPr>
          <w:rFonts w:ascii="宋体" w:hAnsi="宋体" w:cs="宋体"/>
          <w:bCs/>
          <w:sz w:val="24"/>
        </w:rPr>
      </w:pPr>
      <w:r>
        <w:rPr>
          <w:rFonts w:hint="eastAsia" w:ascii="宋体" w:hAnsi="宋体" w:cs="宋体"/>
          <w:bCs/>
          <w:sz w:val="24"/>
        </w:rPr>
        <w:t>1.5各供应商的最终得分为各评委所评定分数的算术值。磋商小组将根据供应商最终得分由高到低的顺序推荐3名成交候选人。得分相同的，按有效最终报价由低到高顺序排名。得分且报价相同的，按技术指标优劣顺序排名。</w:t>
      </w:r>
    </w:p>
    <w:p>
      <w:pPr>
        <w:spacing w:line="500" w:lineRule="exact"/>
        <w:rPr>
          <w:rFonts w:ascii="宋体" w:hAnsi="宋体"/>
          <w:b/>
          <w:sz w:val="24"/>
        </w:rPr>
      </w:pPr>
      <w:bookmarkStart w:id="33" w:name="_Toc266776863"/>
      <w:r>
        <w:rPr>
          <w:rFonts w:hint="eastAsia" w:ascii="宋体" w:hAnsi="宋体"/>
          <w:b/>
          <w:sz w:val="24"/>
        </w:rPr>
        <w:t>2、签订合同</w:t>
      </w:r>
      <w:bookmarkEnd w:id="33"/>
    </w:p>
    <w:p>
      <w:pPr>
        <w:adjustRightInd w:val="0"/>
        <w:snapToGrid w:val="0"/>
        <w:spacing w:line="500" w:lineRule="exact"/>
        <w:rPr>
          <w:rFonts w:ascii="宋体" w:hAnsi="宋体"/>
          <w:sz w:val="24"/>
        </w:rPr>
      </w:pPr>
      <w:r>
        <w:rPr>
          <w:rFonts w:hint="eastAsia" w:ascii="宋体" w:hAnsi="宋体"/>
          <w:sz w:val="24"/>
        </w:rPr>
        <w:t>2.1本采购项目的合同将授予采购人依法依规确定的成交供应商。</w:t>
      </w:r>
    </w:p>
    <w:p>
      <w:pPr>
        <w:adjustRightInd w:val="0"/>
        <w:snapToGrid w:val="0"/>
        <w:spacing w:line="500" w:lineRule="exact"/>
        <w:rPr>
          <w:rFonts w:ascii="宋体" w:hAnsi="宋体"/>
          <w:sz w:val="24"/>
        </w:rPr>
      </w:pPr>
      <w:r>
        <w:rPr>
          <w:rFonts w:hint="eastAsia" w:ascii="宋体" w:hAnsi="宋体"/>
          <w:sz w:val="24"/>
        </w:rPr>
        <w:t>2.2</w:t>
      </w:r>
      <w:r>
        <w:rPr>
          <w:rFonts w:hint="eastAsia" w:ascii="宋体" w:hAnsi="宋体" w:cs="宋体"/>
          <w:color w:val="000000"/>
          <w:sz w:val="24"/>
        </w:rPr>
        <w:t>付款方式：原则上院方验收合格后支付合同总款9</w:t>
      </w:r>
      <w:r>
        <w:rPr>
          <w:rFonts w:ascii="宋体" w:hAnsi="宋体" w:cs="宋体"/>
          <w:color w:val="000000"/>
          <w:sz w:val="24"/>
        </w:rPr>
        <w:t>0</w:t>
      </w:r>
      <w:r>
        <w:rPr>
          <w:rFonts w:hint="eastAsia" w:ascii="宋体" w:hAnsi="宋体" w:cs="宋体"/>
          <w:color w:val="000000"/>
          <w:sz w:val="24"/>
        </w:rPr>
        <w:t>%，质保期满后支付合同总款1</w:t>
      </w:r>
      <w:r>
        <w:rPr>
          <w:rFonts w:ascii="宋体" w:hAnsi="宋体" w:cs="宋体"/>
          <w:color w:val="000000"/>
          <w:sz w:val="24"/>
        </w:rPr>
        <w:t>0</w:t>
      </w:r>
      <w:r>
        <w:rPr>
          <w:rFonts w:hint="eastAsia" w:ascii="宋体" w:hAnsi="宋体" w:cs="宋体"/>
          <w:color w:val="000000"/>
          <w:sz w:val="24"/>
        </w:rPr>
        <w:t>%。具体付款细则采购人与成交供应商协商确定。</w:t>
      </w:r>
    </w:p>
    <w:p>
      <w:pPr>
        <w:pStyle w:val="8"/>
        <w:jc w:val="both"/>
        <w:sectPr>
          <w:headerReference r:id="rId3" w:type="default"/>
          <w:footerReference r:id="rId4" w:type="default"/>
          <w:pgSz w:w="11906" w:h="16838"/>
          <w:pgMar w:top="1046" w:right="1286" w:bottom="1091" w:left="1620" w:header="851" w:footer="692" w:gutter="0"/>
          <w:pgNumType w:start="1"/>
          <w:cols w:space="720" w:num="1"/>
          <w:docGrid w:type="lines" w:linePitch="312" w:charSpace="0"/>
        </w:sectPr>
      </w:pPr>
    </w:p>
    <w:p>
      <w:pPr>
        <w:ind w:firstLine="2865" w:firstLineChars="895"/>
        <w:rPr>
          <w:rFonts w:ascii="宋体" w:hAnsi="宋体" w:cs="宋体"/>
          <w:b/>
          <w:bCs/>
          <w:sz w:val="32"/>
          <w:szCs w:val="32"/>
        </w:rPr>
      </w:pPr>
      <w:r>
        <w:rPr>
          <w:rFonts w:hint="eastAsia" w:ascii="宋体" w:hAnsi="宋体" w:eastAsiaTheme="minorEastAsia"/>
          <w:b/>
          <w:bCs/>
          <w:sz w:val="32"/>
          <w:szCs w:val="32"/>
        </w:rPr>
        <w:t xml:space="preserve">第三章 </w:t>
      </w:r>
      <w:r>
        <w:rPr>
          <w:rFonts w:hint="eastAsia" w:ascii="宋体" w:hAnsi="宋体" w:cs="宋体"/>
          <w:b/>
          <w:bCs/>
          <w:sz w:val="32"/>
          <w:szCs w:val="32"/>
        </w:rPr>
        <w:t xml:space="preserve"> </w:t>
      </w:r>
      <w:r>
        <w:rPr>
          <w:rFonts w:hint="eastAsia" w:ascii="宋体" w:hAnsi="宋体" w:eastAsiaTheme="minorEastAsia"/>
          <w:b/>
          <w:bCs/>
          <w:sz w:val="32"/>
          <w:szCs w:val="32"/>
        </w:rPr>
        <w:t>评分标准</w:t>
      </w:r>
    </w:p>
    <w:tbl>
      <w:tblPr>
        <w:tblStyle w:val="12"/>
        <w:tblW w:w="95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215"/>
        <w:gridCol w:w="781"/>
        <w:gridCol w:w="6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21" w:type="dxa"/>
            <w:tcBorders>
              <w:tl2br w:val="nil"/>
              <w:tr2bl w:val="nil"/>
            </w:tcBorders>
            <w:shd w:val="clear" w:color="auto" w:fill="FFFFFF" w:themeFill="background1"/>
            <w:noWrap w:val="0"/>
            <w:vAlign w:val="center"/>
          </w:tcPr>
          <w:p>
            <w:pPr>
              <w:rPr>
                <w:rFonts w:hint="eastAsia" w:ascii="仿宋" w:hAnsi="仿宋" w:eastAsia="仿宋" w:cs="仿宋"/>
                <w:color w:val="000000" w:themeColor="text1"/>
                <w:kern w:val="0"/>
                <w:sz w:val="21"/>
                <w:szCs w:val="21"/>
                <w:highlight w:val="none"/>
                <w:lang w:val="en-US" w:eastAsia="zh-CN" w:bidi="ar-SA"/>
              </w:rPr>
            </w:pPr>
            <w:r>
              <w:rPr>
                <w:rFonts w:hint="eastAsia" w:ascii="仿宋" w:hAnsi="仿宋" w:eastAsia="仿宋" w:cs="仿宋"/>
                <w:color w:val="000000" w:themeColor="text1"/>
                <w:kern w:val="0"/>
                <w:sz w:val="21"/>
                <w:szCs w:val="21"/>
                <w:highlight w:val="none"/>
                <w:lang w:val="en-US" w:eastAsia="zh-CN" w:bidi="ar-SA"/>
              </w:rPr>
              <w:t>评审项目</w:t>
            </w:r>
          </w:p>
        </w:tc>
        <w:tc>
          <w:tcPr>
            <w:tcW w:w="1215" w:type="dxa"/>
            <w:tcBorders>
              <w:tl2br w:val="nil"/>
              <w:tr2bl w:val="nil"/>
            </w:tcBorders>
            <w:shd w:val="clear" w:color="auto" w:fill="FFFFFF" w:themeFill="background1"/>
            <w:noWrap w:val="0"/>
            <w:vAlign w:val="center"/>
          </w:tcPr>
          <w:p>
            <w:pPr>
              <w:widowControl/>
              <w:jc w:val="center"/>
              <w:rPr>
                <w:rFonts w:hint="eastAsia" w:ascii="仿宋" w:hAnsi="仿宋" w:eastAsia="仿宋" w:cs="仿宋"/>
                <w:color w:val="000000" w:themeColor="text1"/>
                <w:kern w:val="0"/>
                <w:sz w:val="21"/>
                <w:szCs w:val="21"/>
                <w:highlight w:val="none"/>
                <w:lang w:val="en-US" w:eastAsia="zh-CN" w:bidi="ar-SA"/>
              </w:rPr>
            </w:pPr>
            <w:r>
              <w:rPr>
                <w:rFonts w:hint="eastAsia" w:ascii="仿宋" w:hAnsi="仿宋" w:eastAsia="仿宋" w:cs="仿宋"/>
                <w:color w:val="000000" w:themeColor="text1"/>
                <w:kern w:val="0"/>
                <w:sz w:val="21"/>
                <w:szCs w:val="21"/>
                <w:highlight w:val="none"/>
                <w:lang w:val="en-US" w:eastAsia="zh-CN" w:bidi="ar-SA"/>
              </w:rPr>
              <w:t>评标分项</w:t>
            </w:r>
          </w:p>
        </w:tc>
        <w:tc>
          <w:tcPr>
            <w:tcW w:w="781" w:type="dxa"/>
            <w:tcBorders>
              <w:tl2br w:val="nil"/>
              <w:tr2bl w:val="nil"/>
            </w:tcBorders>
            <w:shd w:val="clear" w:color="auto" w:fill="FFFFFF" w:themeFill="background1"/>
            <w:noWrap w:val="0"/>
            <w:vAlign w:val="center"/>
          </w:tcPr>
          <w:p>
            <w:pPr>
              <w:widowControl/>
              <w:jc w:val="center"/>
              <w:rPr>
                <w:rFonts w:hint="eastAsia" w:ascii="仿宋" w:hAnsi="仿宋" w:eastAsia="仿宋" w:cs="仿宋"/>
                <w:color w:val="000000" w:themeColor="text1"/>
                <w:kern w:val="0"/>
                <w:sz w:val="21"/>
                <w:szCs w:val="21"/>
                <w:highlight w:val="none"/>
                <w:lang w:val="en-US" w:eastAsia="zh-CN" w:bidi="ar-SA"/>
              </w:rPr>
            </w:pPr>
            <w:r>
              <w:rPr>
                <w:rFonts w:hint="eastAsia" w:ascii="仿宋" w:hAnsi="仿宋" w:eastAsia="仿宋" w:cs="仿宋"/>
                <w:color w:val="000000" w:themeColor="text1"/>
                <w:kern w:val="0"/>
                <w:sz w:val="21"/>
                <w:szCs w:val="21"/>
                <w:highlight w:val="none"/>
                <w:lang w:val="en-US" w:eastAsia="zh-CN" w:bidi="ar-SA"/>
              </w:rPr>
              <w:t>项目分值</w:t>
            </w:r>
          </w:p>
        </w:tc>
        <w:tc>
          <w:tcPr>
            <w:tcW w:w="6390" w:type="dxa"/>
            <w:tcBorders>
              <w:tl2br w:val="nil"/>
              <w:tr2bl w:val="nil"/>
            </w:tcBorders>
            <w:shd w:val="clear" w:color="auto" w:fill="FFFFFF" w:themeFill="background1"/>
            <w:noWrap w:val="0"/>
            <w:vAlign w:val="center"/>
          </w:tcPr>
          <w:p>
            <w:pPr>
              <w:widowControl/>
              <w:jc w:val="center"/>
              <w:rPr>
                <w:rFonts w:hint="eastAsia" w:ascii="仿宋" w:hAnsi="仿宋" w:eastAsia="仿宋" w:cs="仿宋"/>
                <w:color w:val="000000" w:themeColor="text1"/>
                <w:kern w:val="0"/>
                <w:sz w:val="21"/>
                <w:szCs w:val="21"/>
                <w:highlight w:val="none"/>
                <w:lang w:val="en-US" w:eastAsia="zh-CN" w:bidi="ar-SA"/>
              </w:rPr>
            </w:pPr>
            <w:r>
              <w:rPr>
                <w:rFonts w:hint="eastAsia" w:ascii="仿宋" w:hAnsi="仿宋" w:eastAsia="仿宋" w:cs="仿宋"/>
                <w:color w:val="000000" w:themeColor="text1"/>
                <w:kern w:val="0"/>
                <w:sz w:val="21"/>
                <w:szCs w:val="21"/>
                <w:highlight w:val="none"/>
                <w:lang w:val="en-US" w:eastAsia="zh-CN" w:bidi="ar-SA"/>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21"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rPr>
              <w:t>价格部分（</w:t>
            </w:r>
            <w:r>
              <w:rPr>
                <w:rFonts w:hint="eastAsia" w:ascii="仿宋" w:hAnsi="仿宋" w:eastAsia="仿宋" w:cs="仿宋"/>
                <w:snapToGrid/>
                <w:color w:val="000000" w:themeColor="text1"/>
                <w:kern w:val="0"/>
                <w:sz w:val="21"/>
                <w:szCs w:val="21"/>
                <w:highlight w:val="none"/>
                <w:lang w:val="en-US" w:eastAsia="zh-CN"/>
              </w:rPr>
              <w:t>35</w:t>
            </w:r>
            <w:r>
              <w:rPr>
                <w:rFonts w:hint="eastAsia" w:ascii="仿宋" w:hAnsi="仿宋" w:eastAsia="仿宋" w:cs="仿宋"/>
                <w:snapToGrid/>
                <w:color w:val="000000" w:themeColor="text1"/>
                <w:kern w:val="0"/>
                <w:sz w:val="21"/>
                <w:szCs w:val="21"/>
                <w:highlight w:val="none"/>
              </w:rPr>
              <w:t>分）</w:t>
            </w:r>
          </w:p>
        </w:tc>
        <w:tc>
          <w:tcPr>
            <w:tcW w:w="1215"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rPr>
              <w:t>报价得分</w:t>
            </w:r>
          </w:p>
        </w:tc>
        <w:tc>
          <w:tcPr>
            <w:tcW w:w="781"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lang w:val="en-US" w:eastAsia="zh-CN"/>
              </w:rPr>
              <w:t>35</w:t>
            </w:r>
            <w:r>
              <w:rPr>
                <w:rFonts w:hint="eastAsia" w:ascii="仿宋" w:hAnsi="仿宋" w:eastAsia="仿宋" w:cs="仿宋"/>
                <w:snapToGrid/>
                <w:color w:val="000000" w:themeColor="text1"/>
                <w:kern w:val="0"/>
                <w:sz w:val="21"/>
                <w:szCs w:val="21"/>
                <w:highlight w:val="none"/>
              </w:rPr>
              <w:t>分</w:t>
            </w:r>
          </w:p>
        </w:tc>
        <w:tc>
          <w:tcPr>
            <w:tcW w:w="6390" w:type="dxa"/>
            <w:tcBorders>
              <w:tl2br w:val="nil"/>
              <w:tr2bl w:val="nil"/>
            </w:tcBorders>
            <w:noWrap w:val="0"/>
            <w:vAlign w:val="center"/>
          </w:tcPr>
          <w:p>
            <w:pPr>
              <w:pStyle w:val="2"/>
              <w:spacing w:after="0"/>
              <w:rPr>
                <w:rFonts w:hint="eastAsia" w:ascii="仿宋" w:hAnsi="仿宋" w:eastAsia="仿宋" w:cs="仿宋"/>
                <w:color w:val="000000" w:themeColor="text1"/>
                <w:kern w:val="0"/>
                <w:sz w:val="21"/>
                <w:szCs w:val="21"/>
                <w:highlight w:val="none"/>
                <w:lang w:eastAsia="zh-CN"/>
              </w:rPr>
            </w:pPr>
            <w:r>
              <w:rPr>
                <w:rFonts w:hint="eastAsia" w:ascii="仿宋" w:hAnsi="仿宋" w:eastAsia="仿宋" w:cs="仿宋"/>
                <w:color w:val="000000" w:themeColor="text1"/>
                <w:kern w:val="0"/>
                <w:sz w:val="21"/>
                <w:szCs w:val="21"/>
                <w:highlight w:val="none"/>
              </w:rPr>
              <w:t>价格分采用低价优先法计算，即满足招标文件要求且报价最低的投吧的价格为评标基准价（落实政府采购政策进行价格调整的，以调整后的价格计算），其价格分为满分。其他供应商的价格分统一按照下列公式计算：投标报价得分=(评标基准价（核算后）／投标报价（核算后）)×3</w:t>
            </w:r>
            <w:r>
              <w:rPr>
                <w:rFonts w:hint="eastAsia" w:ascii="仿宋" w:hAnsi="仿宋" w:eastAsia="仿宋" w:cs="仿宋"/>
                <w:color w:val="000000" w:themeColor="text1"/>
                <w:kern w:val="0"/>
                <w:sz w:val="21"/>
                <w:szCs w:val="21"/>
                <w:highlight w:val="none"/>
                <w:lang w:val="en-US" w:eastAsia="zh-CN"/>
              </w:rPr>
              <w:t>5</w:t>
            </w:r>
            <w:r>
              <w:rPr>
                <w:rFonts w:hint="eastAsia" w:ascii="仿宋" w:hAnsi="仿宋" w:eastAsia="仿宋" w:cs="仿宋"/>
                <w:color w:val="000000" w:themeColor="text1"/>
                <w:kern w:val="0"/>
                <w:sz w:val="21"/>
                <w:szCs w:val="21"/>
                <w:highlight w:val="none"/>
              </w:rPr>
              <w:t>%×100</w:t>
            </w:r>
            <w:r>
              <w:rPr>
                <w:rFonts w:hint="eastAsia" w:ascii="仿宋" w:hAnsi="仿宋" w:eastAsia="仿宋" w:cs="仿宋"/>
                <w:color w:val="000000" w:themeColor="text1"/>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121" w:type="dxa"/>
            <w:vMerge w:val="restart"/>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rPr>
              <w:t>技术部分（5</w:t>
            </w:r>
            <w:r>
              <w:rPr>
                <w:rFonts w:hint="eastAsia" w:ascii="仿宋" w:hAnsi="仿宋" w:eastAsia="仿宋" w:cs="仿宋"/>
                <w:snapToGrid/>
                <w:color w:val="000000" w:themeColor="text1"/>
                <w:kern w:val="0"/>
                <w:sz w:val="21"/>
                <w:szCs w:val="21"/>
                <w:highlight w:val="none"/>
                <w:lang w:val="en-US" w:eastAsia="zh-CN"/>
              </w:rPr>
              <w:t>5</w:t>
            </w:r>
            <w:r>
              <w:rPr>
                <w:rFonts w:hint="eastAsia" w:ascii="仿宋" w:hAnsi="仿宋" w:eastAsia="仿宋" w:cs="仿宋"/>
                <w:snapToGrid/>
                <w:color w:val="000000" w:themeColor="text1"/>
                <w:kern w:val="0"/>
                <w:sz w:val="21"/>
                <w:szCs w:val="21"/>
                <w:highlight w:val="none"/>
              </w:rPr>
              <w:t>分）</w:t>
            </w:r>
          </w:p>
        </w:tc>
        <w:tc>
          <w:tcPr>
            <w:tcW w:w="1215" w:type="dxa"/>
            <w:tcBorders>
              <w:tl2br w:val="nil"/>
              <w:tr2bl w:val="nil"/>
            </w:tcBorders>
            <w:noWrap w:val="0"/>
            <w:vAlign w:val="center"/>
          </w:tcPr>
          <w:p>
            <w:pPr>
              <w:pStyle w:val="2"/>
              <w:jc w:val="center"/>
              <w:rPr>
                <w:rFonts w:hint="eastAsia" w:ascii="仿宋" w:hAnsi="仿宋" w:eastAsia="仿宋" w:cs="仿宋"/>
                <w:color w:val="000000" w:themeColor="text1"/>
                <w:sz w:val="21"/>
                <w:szCs w:val="21"/>
                <w:highlight w:val="none"/>
              </w:rPr>
            </w:pPr>
            <w:r>
              <w:rPr>
                <w:rFonts w:hint="eastAsia" w:ascii="仿宋" w:hAnsi="仿宋" w:eastAsia="仿宋" w:cs="仿宋"/>
                <w:color w:val="000000" w:themeColor="text1"/>
                <w:sz w:val="21"/>
                <w:szCs w:val="21"/>
                <w:highlight w:val="none"/>
              </w:rPr>
              <w:t>技术参数</w:t>
            </w:r>
          </w:p>
        </w:tc>
        <w:tc>
          <w:tcPr>
            <w:tcW w:w="781"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lang w:val="en-US" w:eastAsia="zh-CN"/>
              </w:rPr>
              <w:t>40</w:t>
            </w:r>
            <w:r>
              <w:rPr>
                <w:rFonts w:hint="eastAsia" w:ascii="仿宋" w:hAnsi="仿宋" w:eastAsia="仿宋" w:cs="仿宋"/>
                <w:snapToGrid/>
                <w:color w:val="000000" w:themeColor="text1"/>
                <w:kern w:val="0"/>
                <w:sz w:val="21"/>
                <w:szCs w:val="21"/>
                <w:highlight w:val="none"/>
              </w:rPr>
              <w:t>分</w:t>
            </w:r>
          </w:p>
        </w:tc>
        <w:tc>
          <w:tcPr>
            <w:tcW w:w="6390" w:type="dxa"/>
            <w:tcBorders>
              <w:tl2br w:val="nil"/>
              <w:tr2bl w:val="nil"/>
            </w:tcBorders>
            <w:noWrap w:val="0"/>
            <w:vAlign w:val="center"/>
          </w:tcPr>
          <w:p>
            <w:pPr>
              <w:pStyle w:val="2"/>
              <w:spacing w:after="0"/>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投标产品技术规格符合招标文件要求，能完全满足使用要求得</w:t>
            </w:r>
            <w:r>
              <w:rPr>
                <w:rFonts w:hint="eastAsia" w:ascii="仿宋" w:hAnsi="仿宋" w:eastAsia="仿宋" w:cs="仿宋"/>
                <w:color w:val="000000" w:themeColor="text1"/>
                <w:kern w:val="0"/>
                <w:sz w:val="21"/>
                <w:szCs w:val="21"/>
                <w:highlight w:val="none"/>
                <w:lang w:val="en-US" w:eastAsia="zh-CN"/>
              </w:rPr>
              <w:t>40</w:t>
            </w:r>
            <w:r>
              <w:rPr>
                <w:rFonts w:hint="eastAsia" w:ascii="仿宋" w:hAnsi="仿宋" w:eastAsia="仿宋" w:cs="仿宋"/>
                <w:color w:val="000000" w:themeColor="text1"/>
                <w:kern w:val="0"/>
                <w:sz w:val="21"/>
                <w:szCs w:val="21"/>
                <w:highlight w:val="none"/>
              </w:rPr>
              <w:t>分）。如设备参数及技术规格低于招标文件要求即为负偏离，每项非“★”号的一般参数负偏离减3分，每项带星号“★”的关键技术参数负偏离扣</w:t>
            </w:r>
            <w:r>
              <w:rPr>
                <w:rFonts w:hint="eastAsia" w:ascii="仿宋" w:hAnsi="仿宋" w:eastAsia="仿宋" w:cs="仿宋"/>
                <w:color w:val="000000" w:themeColor="text1"/>
                <w:kern w:val="0"/>
                <w:sz w:val="21"/>
                <w:szCs w:val="21"/>
                <w:highlight w:val="none"/>
                <w:lang w:val="en-US" w:eastAsia="zh-CN"/>
              </w:rPr>
              <w:t>5</w:t>
            </w:r>
            <w:r>
              <w:rPr>
                <w:rFonts w:hint="eastAsia" w:ascii="仿宋" w:hAnsi="仿宋" w:eastAsia="仿宋" w:cs="仿宋"/>
                <w:color w:val="000000" w:themeColor="text1"/>
                <w:kern w:val="0"/>
                <w:sz w:val="21"/>
                <w:szCs w:val="21"/>
                <w:highlight w:val="none"/>
              </w:rPr>
              <w:t xml:space="preserve">分。（须由货物生产商或其直属机构盖章）或制造商公开发布的印刷资料作支持。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21" w:type="dxa"/>
            <w:vMerge w:val="continue"/>
            <w:tcBorders>
              <w:tl2br w:val="nil"/>
              <w:tr2bl w:val="nil"/>
            </w:tcBorders>
            <w:noWrap w:val="0"/>
            <w:vAlign w:val="center"/>
          </w:tcPr>
          <w:p>
            <w:pPr>
              <w:widowControl/>
              <w:jc w:val="left"/>
              <w:rPr>
                <w:rFonts w:hint="eastAsia" w:ascii="仿宋" w:hAnsi="仿宋" w:eastAsia="仿宋" w:cs="仿宋"/>
                <w:snapToGrid/>
                <w:color w:val="000000" w:themeColor="text1"/>
                <w:kern w:val="0"/>
                <w:sz w:val="21"/>
                <w:szCs w:val="21"/>
                <w:highlight w:val="none"/>
              </w:rPr>
            </w:pPr>
          </w:p>
        </w:tc>
        <w:tc>
          <w:tcPr>
            <w:tcW w:w="1215"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color w:val="000000" w:themeColor="text1"/>
                <w:sz w:val="21"/>
                <w:szCs w:val="21"/>
                <w:highlight w:val="none"/>
              </w:rPr>
              <w:t>设备选型的功能性、实用性</w:t>
            </w:r>
          </w:p>
        </w:tc>
        <w:tc>
          <w:tcPr>
            <w:tcW w:w="781" w:type="dxa"/>
            <w:tcBorders>
              <w:tl2br w:val="nil"/>
              <w:tr2bl w:val="nil"/>
            </w:tcBorders>
            <w:noWrap w:val="0"/>
            <w:vAlign w:val="center"/>
          </w:tcPr>
          <w:p>
            <w:pPr>
              <w:widowControl/>
              <w:spacing w:line="400" w:lineRule="exact"/>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color w:val="000000" w:themeColor="text1"/>
                <w:sz w:val="21"/>
                <w:szCs w:val="21"/>
                <w:highlight w:val="none"/>
                <w:lang w:val="en-US" w:eastAsia="zh-CN"/>
              </w:rPr>
              <w:t>5</w:t>
            </w:r>
            <w:r>
              <w:rPr>
                <w:rFonts w:hint="eastAsia" w:ascii="仿宋" w:hAnsi="仿宋" w:eastAsia="仿宋" w:cs="仿宋"/>
                <w:color w:val="000000" w:themeColor="text1"/>
                <w:sz w:val="21"/>
                <w:szCs w:val="21"/>
                <w:highlight w:val="none"/>
              </w:rPr>
              <w:t>分</w:t>
            </w:r>
          </w:p>
        </w:tc>
        <w:tc>
          <w:tcPr>
            <w:tcW w:w="6390" w:type="dxa"/>
            <w:tcBorders>
              <w:tl2br w:val="nil"/>
              <w:tr2bl w:val="nil"/>
            </w:tcBorders>
            <w:noWrap w:val="0"/>
            <w:vAlign w:val="center"/>
          </w:tcPr>
          <w:p>
            <w:pPr>
              <w:widowControl/>
              <w:rPr>
                <w:rFonts w:hint="eastAsia" w:ascii="仿宋" w:hAnsi="仿宋" w:eastAsia="仿宋" w:cs="仿宋"/>
                <w:color w:val="000000" w:themeColor="text1"/>
                <w:sz w:val="21"/>
                <w:szCs w:val="21"/>
                <w:highlight w:val="none"/>
              </w:rPr>
            </w:pPr>
            <w:r>
              <w:rPr>
                <w:rFonts w:hint="eastAsia" w:ascii="仿宋" w:hAnsi="仿宋" w:eastAsia="仿宋" w:cs="仿宋"/>
                <w:color w:val="000000" w:themeColor="text1"/>
                <w:sz w:val="21"/>
                <w:szCs w:val="21"/>
                <w:highlight w:val="none"/>
              </w:rPr>
              <w:t>根据投标产品选型的功能性实用性进行评议：</w:t>
            </w:r>
          </w:p>
          <w:p>
            <w:pPr>
              <w:widowControl/>
              <w:numPr>
                <w:ilvl w:val="0"/>
                <w:numId w:val="1"/>
              </w:numPr>
              <w:rPr>
                <w:rFonts w:hint="eastAsia" w:ascii="仿宋" w:hAnsi="仿宋" w:eastAsia="仿宋" w:cs="仿宋"/>
                <w:color w:val="000000" w:themeColor="text1"/>
                <w:sz w:val="21"/>
                <w:szCs w:val="21"/>
                <w:highlight w:val="none"/>
              </w:rPr>
            </w:pPr>
            <w:r>
              <w:rPr>
                <w:rFonts w:hint="eastAsia" w:ascii="仿宋" w:hAnsi="仿宋" w:eastAsia="仿宋" w:cs="仿宋"/>
                <w:color w:val="000000" w:themeColor="text1"/>
                <w:sz w:val="21"/>
                <w:szCs w:val="21"/>
                <w:highlight w:val="none"/>
              </w:rPr>
              <w:t>产品选型合理，功能齐全和实用性强得</w:t>
            </w:r>
            <w:r>
              <w:rPr>
                <w:rFonts w:hint="eastAsia" w:ascii="仿宋" w:hAnsi="仿宋" w:eastAsia="仿宋" w:cs="仿宋"/>
                <w:color w:val="000000" w:themeColor="text1"/>
                <w:sz w:val="21"/>
                <w:szCs w:val="21"/>
                <w:highlight w:val="none"/>
                <w:lang w:val="en-US" w:eastAsia="zh-CN"/>
              </w:rPr>
              <w:t>5</w:t>
            </w:r>
            <w:r>
              <w:rPr>
                <w:rFonts w:hint="eastAsia" w:ascii="仿宋" w:hAnsi="仿宋" w:eastAsia="仿宋" w:cs="仿宋"/>
                <w:color w:val="000000" w:themeColor="text1"/>
                <w:sz w:val="21"/>
                <w:szCs w:val="21"/>
                <w:highlight w:val="none"/>
              </w:rPr>
              <w:t>分；</w:t>
            </w:r>
          </w:p>
          <w:p>
            <w:pPr>
              <w:widowControl/>
              <w:numPr>
                <w:ilvl w:val="0"/>
                <w:numId w:val="1"/>
              </w:numPr>
              <w:rPr>
                <w:rFonts w:hint="eastAsia" w:ascii="仿宋" w:hAnsi="仿宋" w:eastAsia="仿宋" w:cs="仿宋"/>
                <w:color w:val="000000" w:themeColor="text1"/>
                <w:sz w:val="21"/>
                <w:szCs w:val="21"/>
                <w:highlight w:val="none"/>
              </w:rPr>
            </w:pPr>
            <w:r>
              <w:rPr>
                <w:rFonts w:hint="eastAsia" w:ascii="仿宋" w:hAnsi="仿宋" w:eastAsia="仿宋" w:cs="仿宋"/>
                <w:color w:val="000000" w:themeColor="text1"/>
                <w:sz w:val="21"/>
                <w:szCs w:val="21"/>
                <w:highlight w:val="none"/>
              </w:rPr>
              <w:t>产品选型较合理，功能配置和实用性符合项目需求得</w:t>
            </w:r>
            <w:r>
              <w:rPr>
                <w:rFonts w:hint="eastAsia" w:ascii="仿宋" w:hAnsi="仿宋" w:eastAsia="仿宋" w:cs="仿宋"/>
                <w:color w:val="000000" w:themeColor="text1"/>
                <w:sz w:val="21"/>
                <w:szCs w:val="21"/>
                <w:highlight w:val="none"/>
                <w:lang w:val="en-US" w:eastAsia="zh-CN"/>
              </w:rPr>
              <w:t>3</w:t>
            </w:r>
            <w:r>
              <w:rPr>
                <w:rFonts w:hint="eastAsia" w:ascii="仿宋" w:hAnsi="仿宋" w:eastAsia="仿宋" w:cs="仿宋"/>
                <w:color w:val="000000" w:themeColor="text1"/>
                <w:sz w:val="21"/>
                <w:szCs w:val="21"/>
                <w:highlight w:val="none"/>
              </w:rPr>
              <w:t>分；</w:t>
            </w:r>
          </w:p>
          <w:p>
            <w:pPr>
              <w:pStyle w:val="2"/>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sz w:val="21"/>
                <w:szCs w:val="21"/>
                <w:highlight w:val="none"/>
              </w:rPr>
              <w:t>3、产品选型部分符合或不符合项目需求得</w:t>
            </w:r>
            <w:r>
              <w:rPr>
                <w:rFonts w:hint="eastAsia" w:ascii="仿宋" w:hAnsi="仿宋" w:eastAsia="仿宋" w:cs="仿宋"/>
                <w:color w:val="000000" w:themeColor="text1"/>
                <w:sz w:val="21"/>
                <w:szCs w:val="21"/>
                <w:highlight w:val="none"/>
                <w:lang w:val="en-US" w:eastAsia="zh-CN"/>
              </w:rPr>
              <w:t>1</w:t>
            </w:r>
            <w:r>
              <w:rPr>
                <w:rFonts w:hint="eastAsia" w:ascii="仿宋" w:hAnsi="仿宋" w:eastAsia="仿宋" w:cs="仿宋"/>
                <w:color w:val="000000" w:themeColor="text1"/>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vMerge w:val="continue"/>
            <w:tcBorders>
              <w:tl2br w:val="nil"/>
              <w:tr2bl w:val="nil"/>
            </w:tcBorders>
            <w:noWrap w:val="0"/>
            <w:vAlign w:val="center"/>
          </w:tcPr>
          <w:p>
            <w:pPr>
              <w:widowControl/>
              <w:jc w:val="left"/>
              <w:rPr>
                <w:rFonts w:hint="eastAsia" w:ascii="仿宋" w:hAnsi="仿宋" w:eastAsia="仿宋" w:cs="仿宋"/>
                <w:snapToGrid/>
                <w:color w:val="000000" w:themeColor="text1"/>
                <w:kern w:val="0"/>
                <w:sz w:val="21"/>
                <w:szCs w:val="21"/>
                <w:highlight w:val="none"/>
              </w:rPr>
            </w:pPr>
          </w:p>
        </w:tc>
        <w:tc>
          <w:tcPr>
            <w:tcW w:w="1215"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rPr>
              <w:t>售后服务</w:t>
            </w:r>
          </w:p>
        </w:tc>
        <w:tc>
          <w:tcPr>
            <w:tcW w:w="781" w:type="dxa"/>
            <w:tcBorders>
              <w:tl2br w:val="nil"/>
              <w:tr2bl w:val="nil"/>
            </w:tcBorders>
            <w:noWrap w:val="0"/>
            <w:vAlign w:val="center"/>
          </w:tcPr>
          <w:p>
            <w:pPr>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color w:val="000000" w:themeColor="text1"/>
                <w:sz w:val="21"/>
                <w:szCs w:val="21"/>
                <w:highlight w:val="none"/>
                <w:lang w:val="en-US" w:eastAsia="zh-CN"/>
              </w:rPr>
              <w:t>6</w:t>
            </w:r>
            <w:r>
              <w:rPr>
                <w:rFonts w:hint="eastAsia" w:ascii="仿宋" w:hAnsi="仿宋" w:eastAsia="仿宋" w:cs="仿宋"/>
                <w:snapToGrid/>
                <w:color w:val="000000" w:themeColor="text1"/>
                <w:kern w:val="0"/>
                <w:sz w:val="21"/>
                <w:szCs w:val="21"/>
                <w:highlight w:val="none"/>
              </w:rPr>
              <w:t>分</w:t>
            </w:r>
          </w:p>
        </w:tc>
        <w:tc>
          <w:tcPr>
            <w:tcW w:w="6390" w:type="dxa"/>
            <w:tcBorders>
              <w:tl2br w:val="nil"/>
              <w:tr2bl w:val="nil"/>
            </w:tcBorders>
            <w:noWrap w:val="0"/>
            <w:vAlign w:val="center"/>
          </w:tcPr>
          <w:p>
            <w:pPr>
              <w:pStyle w:val="2"/>
              <w:spacing w:after="0"/>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评标委员会根据各投标人提出的售后服务方案承诺的售后保障措施、响应时间、技术支持等内容进行综合评审，措施合理、售后响应时间快、技术服务完善得</w:t>
            </w:r>
            <w:r>
              <w:rPr>
                <w:rFonts w:hint="eastAsia" w:ascii="仿宋" w:hAnsi="仿宋" w:eastAsia="仿宋" w:cs="仿宋"/>
                <w:color w:val="000000" w:themeColor="text1"/>
                <w:kern w:val="0"/>
                <w:sz w:val="21"/>
                <w:szCs w:val="21"/>
                <w:highlight w:val="none"/>
                <w:lang w:val="en-US" w:eastAsia="zh-CN"/>
              </w:rPr>
              <w:t>6</w:t>
            </w:r>
            <w:r>
              <w:rPr>
                <w:rFonts w:hint="eastAsia" w:ascii="仿宋" w:hAnsi="仿宋" w:eastAsia="仿宋" w:cs="仿宋"/>
                <w:color w:val="000000" w:themeColor="text1"/>
                <w:kern w:val="0"/>
                <w:sz w:val="21"/>
                <w:szCs w:val="21"/>
                <w:highlight w:val="none"/>
              </w:rPr>
              <w:t>分；售后保障措施可行、响应时间和技术服务满足项目实际需求得</w:t>
            </w:r>
            <w:r>
              <w:rPr>
                <w:rFonts w:hint="eastAsia" w:ascii="仿宋" w:hAnsi="仿宋" w:eastAsia="仿宋" w:cs="仿宋"/>
                <w:color w:val="000000" w:themeColor="text1"/>
                <w:kern w:val="0"/>
                <w:sz w:val="21"/>
                <w:szCs w:val="21"/>
                <w:highlight w:val="none"/>
                <w:lang w:val="en-US" w:eastAsia="zh-CN"/>
              </w:rPr>
              <w:t>4</w:t>
            </w:r>
            <w:r>
              <w:rPr>
                <w:rFonts w:hint="eastAsia" w:ascii="仿宋" w:hAnsi="仿宋" w:eastAsia="仿宋" w:cs="仿宋"/>
                <w:color w:val="000000" w:themeColor="text1"/>
                <w:kern w:val="0"/>
                <w:sz w:val="21"/>
                <w:szCs w:val="21"/>
                <w:highlight w:val="none"/>
              </w:rPr>
              <w:t>分；其他得</w:t>
            </w:r>
            <w:r>
              <w:rPr>
                <w:rFonts w:hint="eastAsia" w:ascii="仿宋" w:hAnsi="仿宋" w:eastAsia="仿宋" w:cs="仿宋"/>
                <w:color w:val="000000" w:themeColor="text1"/>
                <w:kern w:val="0"/>
                <w:sz w:val="21"/>
                <w:szCs w:val="21"/>
                <w:highlight w:val="none"/>
                <w:lang w:val="en-US" w:eastAsia="zh-CN"/>
              </w:rPr>
              <w:t>2</w:t>
            </w:r>
            <w:r>
              <w:rPr>
                <w:rFonts w:hint="eastAsia" w:ascii="仿宋" w:hAnsi="仿宋" w:eastAsia="仿宋" w:cs="仿宋"/>
                <w:color w:val="000000" w:themeColor="text1"/>
                <w:kern w:val="0"/>
                <w:sz w:val="21"/>
                <w:szCs w:val="21"/>
                <w:highlight w:val="none"/>
              </w:rPr>
              <w:t>分，未提供不得分。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21" w:type="dxa"/>
            <w:vMerge w:val="continue"/>
            <w:tcBorders>
              <w:tl2br w:val="nil"/>
              <w:tr2bl w:val="nil"/>
            </w:tcBorders>
            <w:noWrap w:val="0"/>
            <w:vAlign w:val="center"/>
          </w:tcPr>
          <w:p>
            <w:pPr>
              <w:widowControl/>
              <w:jc w:val="left"/>
              <w:rPr>
                <w:rFonts w:hint="eastAsia" w:ascii="仿宋" w:hAnsi="仿宋" w:eastAsia="仿宋" w:cs="仿宋"/>
                <w:snapToGrid/>
                <w:color w:val="000000" w:themeColor="text1"/>
                <w:kern w:val="0"/>
                <w:sz w:val="21"/>
                <w:szCs w:val="21"/>
                <w:highlight w:val="none"/>
              </w:rPr>
            </w:pPr>
          </w:p>
        </w:tc>
        <w:tc>
          <w:tcPr>
            <w:tcW w:w="1215"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color w:val="000000" w:themeColor="text1"/>
                <w:sz w:val="21"/>
                <w:szCs w:val="21"/>
                <w:highlight w:val="none"/>
              </w:rPr>
              <w:t>技术服务及培训</w:t>
            </w:r>
          </w:p>
        </w:tc>
        <w:tc>
          <w:tcPr>
            <w:tcW w:w="781" w:type="dxa"/>
            <w:tcBorders>
              <w:tl2br w:val="nil"/>
              <w:tr2bl w:val="nil"/>
            </w:tcBorders>
            <w:noWrap w:val="0"/>
            <w:vAlign w:val="center"/>
          </w:tcPr>
          <w:p>
            <w:pPr>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color w:val="000000" w:themeColor="text1"/>
                <w:sz w:val="21"/>
                <w:szCs w:val="21"/>
                <w:highlight w:val="none"/>
                <w:lang w:val="en-US" w:eastAsia="zh-CN"/>
              </w:rPr>
              <w:t>4</w:t>
            </w:r>
            <w:r>
              <w:rPr>
                <w:rFonts w:hint="eastAsia" w:ascii="仿宋" w:hAnsi="仿宋" w:eastAsia="仿宋" w:cs="仿宋"/>
                <w:snapToGrid/>
                <w:color w:val="000000" w:themeColor="text1"/>
                <w:kern w:val="0"/>
                <w:sz w:val="21"/>
                <w:szCs w:val="21"/>
                <w:highlight w:val="none"/>
              </w:rPr>
              <w:t>分</w:t>
            </w:r>
          </w:p>
        </w:tc>
        <w:tc>
          <w:tcPr>
            <w:tcW w:w="6390" w:type="dxa"/>
            <w:tcBorders>
              <w:tl2br w:val="nil"/>
              <w:tr2bl w:val="nil"/>
            </w:tcBorders>
            <w:noWrap w:val="0"/>
            <w:vAlign w:val="center"/>
          </w:tcPr>
          <w:p>
            <w:pPr>
              <w:ind w:left="-4" w:leftChars="-2" w:firstLine="2" w:firstLineChars="1"/>
              <w:rPr>
                <w:rFonts w:hint="eastAsia" w:ascii="仿宋" w:hAnsi="仿宋" w:eastAsia="仿宋" w:cs="仿宋"/>
                <w:color w:val="000000" w:themeColor="text1"/>
                <w:sz w:val="21"/>
                <w:szCs w:val="21"/>
                <w:highlight w:val="none"/>
              </w:rPr>
            </w:pPr>
            <w:r>
              <w:rPr>
                <w:rFonts w:hint="eastAsia" w:ascii="仿宋" w:hAnsi="仿宋" w:eastAsia="仿宋" w:cs="仿宋"/>
                <w:color w:val="000000" w:themeColor="text1"/>
                <w:sz w:val="21"/>
                <w:szCs w:val="21"/>
                <w:highlight w:val="none"/>
              </w:rPr>
              <w:t>投标人针对本项目制定合理的培训方案，培训方案包括但不限于以下方面：</w:t>
            </w:r>
          </w:p>
          <w:p>
            <w:pPr>
              <w:ind w:left="-4" w:leftChars="-2" w:firstLine="2" w:firstLineChars="1"/>
              <w:rPr>
                <w:rFonts w:hint="eastAsia" w:ascii="仿宋" w:hAnsi="仿宋" w:eastAsia="仿宋" w:cs="仿宋"/>
                <w:color w:val="000000" w:themeColor="text1"/>
                <w:sz w:val="21"/>
                <w:szCs w:val="21"/>
                <w:highlight w:val="none"/>
              </w:rPr>
            </w:pPr>
            <w:r>
              <w:rPr>
                <w:rFonts w:hint="eastAsia" w:ascii="仿宋" w:hAnsi="仿宋" w:eastAsia="仿宋" w:cs="仿宋"/>
                <w:color w:val="000000" w:themeColor="text1"/>
                <w:sz w:val="21"/>
                <w:szCs w:val="21"/>
                <w:highlight w:val="none"/>
              </w:rPr>
              <w:t>1、有关设备的使用、维护和保养等方法；（以使操作人员具备独立进行操作、故障处理、日常测试和维护保养等工作的能力为目的）</w:t>
            </w:r>
          </w:p>
          <w:p>
            <w:pPr>
              <w:ind w:left="-4" w:leftChars="-2" w:firstLine="2" w:firstLineChars="1"/>
              <w:rPr>
                <w:rFonts w:hint="eastAsia" w:ascii="仿宋" w:hAnsi="仿宋" w:eastAsia="仿宋" w:cs="仿宋"/>
                <w:color w:val="000000" w:themeColor="text1"/>
                <w:sz w:val="21"/>
                <w:szCs w:val="21"/>
                <w:highlight w:val="none"/>
              </w:rPr>
            </w:pPr>
            <w:r>
              <w:rPr>
                <w:rFonts w:hint="eastAsia" w:ascii="仿宋" w:hAnsi="仿宋" w:eastAsia="仿宋" w:cs="仿宋"/>
                <w:color w:val="000000" w:themeColor="text1"/>
                <w:sz w:val="21"/>
                <w:szCs w:val="21"/>
                <w:highlight w:val="none"/>
              </w:rPr>
              <w:t>2、相关设备的操作培训计划；</w:t>
            </w:r>
          </w:p>
          <w:p>
            <w:pPr>
              <w:ind w:left="-4" w:leftChars="-2" w:firstLine="2" w:firstLineChars="1"/>
              <w:rPr>
                <w:rFonts w:hint="eastAsia" w:ascii="仿宋" w:hAnsi="仿宋" w:eastAsia="仿宋" w:cs="仿宋"/>
                <w:color w:val="000000" w:themeColor="text1"/>
                <w:sz w:val="21"/>
                <w:szCs w:val="21"/>
                <w:highlight w:val="none"/>
              </w:rPr>
            </w:pPr>
            <w:r>
              <w:rPr>
                <w:rFonts w:hint="eastAsia" w:ascii="仿宋" w:hAnsi="仿宋" w:eastAsia="仿宋" w:cs="仿宋"/>
                <w:color w:val="000000" w:themeColor="text1"/>
                <w:sz w:val="21"/>
                <w:szCs w:val="21"/>
                <w:highlight w:val="none"/>
              </w:rPr>
              <w:t>3、拟派出培训人员的基本情况介绍，应包括同类项目的培训和应用经验等内容；</w:t>
            </w:r>
          </w:p>
          <w:p>
            <w:pPr>
              <w:pStyle w:val="2"/>
              <w:spacing w:after="0"/>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sz w:val="21"/>
                <w:szCs w:val="21"/>
                <w:highlight w:val="none"/>
              </w:rPr>
              <w:t>根据供应商提供的培训方案进行评分，存在缺陷或缺漏或未响应的扣1分，扣完为止。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1" w:type="dxa"/>
            <w:vMerge w:val="restart"/>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rPr>
              <w:t>商务部分（</w:t>
            </w:r>
            <w:r>
              <w:rPr>
                <w:rFonts w:hint="eastAsia" w:ascii="仿宋" w:hAnsi="仿宋" w:eastAsia="仿宋" w:cs="仿宋"/>
                <w:snapToGrid/>
                <w:color w:val="000000" w:themeColor="text1"/>
                <w:kern w:val="0"/>
                <w:sz w:val="21"/>
                <w:szCs w:val="21"/>
                <w:highlight w:val="none"/>
                <w:lang w:val="en-US" w:eastAsia="zh-CN"/>
              </w:rPr>
              <w:t>10</w:t>
            </w:r>
            <w:r>
              <w:rPr>
                <w:rFonts w:hint="eastAsia" w:ascii="仿宋" w:hAnsi="仿宋" w:eastAsia="仿宋" w:cs="仿宋"/>
                <w:snapToGrid/>
                <w:color w:val="000000" w:themeColor="text1"/>
                <w:kern w:val="0"/>
                <w:sz w:val="21"/>
                <w:szCs w:val="21"/>
                <w:highlight w:val="none"/>
              </w:rPr>
              <w:t>分）</w:t>
            </w:r>
          </w:p>
        </w:tc>
        <w:tc>
          <w:tcPr>
            <w:tcW w:w="1215"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color w:val="000000" w:themeColor="text1"/>
                <w:sz w:val="21"/>
                <w:szCs w:val="21"/>
                <w:highlight w:val="none"/>
              </w:rPr>
              <w:t>质保期</w:t>
            </w:r>
          </w:p>
        </w:tc>
        <w:tc>
          <w:tcPr>
            <w:tcW w:w="781" w:type="dxa"/>
            <w:tcBorders>
              <w:tl2br w:val="nil"/>
              <w:tr2bl w:val="nil"/>
            </w:tcBorders>
            <w:noWrap w:val="0"/>
            <w:vAlign w:val="center"/>
          </w:tcPr>
          <w:p>
            <w:pPr>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lang w:val="en-US" w:eastAsia="zh-CN"/>
              </w:rPr>
              <w:t>2</w:t>
            </w:r>
            <w:r>
              <w:rPr>
                <w:rFonts w:hint="eastAsia" w:ascii="仿宋" w:hAnsi="仿宋" w:eastAsia="仿宋" w:cs="仿宋"/>
                <w:snapToGrid/>
                <w:color w:val="000000" w:themeColor="text1"/>
                <w:kern w:val="0"/>
                <w:sz w:val="21"/>
                <w:szCs w:val="21"/>
                <w:highlight w:val="none"/>
              </w:rPr>
              <w:t>分</w:t>
            </w:r>
          </w:p>
        </w:tc>
        <w:tc>
          <w:tcPr>
            <w:tcW w:w="6390" w:type="dxa"/>
            <w:tcBorders>
              <w:tl2br w:val="nil"/>
              <w:tr2bl w:val="nil"/>
            </w:tcBorders>
            <w:noWrap w:val="0"/>
            <w:vAlign w:val="center"/>
          </w:tcPr>
          <w:p>
            <w:pPr>
              <w:pStyle w:val="2"/>
              <w:spacing w:after="0"/>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质保期满足招标文件要求，每增加一年加</w:t>
            </w:r>
            <w:r>
              <w:rPr>
                <w:rFonts w:hint="eastAsia" w:ascii="仿宋" w:hAnsi="仿宋" w:eastAsia="仿宋" w:cs="仿宋"/>
                <w:color w:val="000000" w:themeColor="text1"/>
                <w:kern w:val="0"/>
                <w:sz w:val="21"/>
                <w:szCs w:val="21"/>
                <w:highlight w:val="none"/>
                <w:lang w:val="en-US" w:eastAsia="zh-CN"/>
              </w:rPr>
              <w:t>1</w:t>
            </w:r>
            <w:r>
              <w:rPr>
                <w:rFonts w:hint="eastAsia" w:ascii="仿宋" w:hAnsi="仿宋" w:eastAsia="仿宋" w:cs="仿宋"/>
                <w:color w:val="000000" w:themeColor="text1"/>
                <w:kern w:val="0"/>
                <w:sz w:val="21"/>
                <w:szCs w:val="21"/>
                <w:highlight w:val="none"/>
              </w:rPr>
              <w:t>分，最多得</w:t>
            </w:r>
            <w:r>
              <w:rPr>
                <w:rFonts w:hint="eastAsia" w:ascii="仿宋" w:hAnsi="仿宋" w:eastAsia="仿宋" w:cs="仿宋"/>
                <w:color w:val="000000" w:themeColor="text1"/>
                <w:kern w:val="0"/>
                <w:sz w:val="21"/>
                <w:szCs w:val="21"/>
                <w:highlight w:val="none"/>
                <w:lang w:val="en-US" w:eastAsia="zh-CN"/>
              </w:rPr>
              <w:t>2</w:t>
            </w:r>
            <w:r>
              <w:rPr>
                <w:rFonts w:hint="eastAsia" w:ascii="仿宋" w:hAnsi="仿宋" w:eastAsia="仿宋" w:cs="仿宋"/>
                <w:color w:val="000000" w:themeColor="text1"/>
                <w:kern w:val="0"/>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21" w:type="dxa"/>
            <w:vMerge w:val="continue"/>
            <w:tcBorders>
              <w:tl2br w:val="nil"/>
              <w:tr2bl w:val="nil"/>
            </w:tcBorders>
            <w:noWrap w:val="0"/>
            <w:vAlign w:val="center"/>
          </w:tcPr>
          <w:p>
            <w:pPr>
              <w:widowControl/>
              <w:rPr>
                <w:rFonts w:hint="eastAsia" w:ascii="仿宋" w:hAnsi="仿宋" w:eastAsia="仿宋" w:cs="仿宋"/>
                <w:snapToGrid/>
                <w:color w:val="000000" w:themeColor="text1"/>
                <w:kern w:val="0"/>
                <w:sz w:val="21"/>
                <w:szCs w:val="21"/>
                <w:highlight w:val="none"/>
              </w:rPr>
            </w:pPr>
          </w:p>
        </w:tc>
        <w:tc>
          <w:tcPr>
            <w:tcW w:w="1215"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rPr>
              <w:t>业绩要求</w:t>
            </w:r>
          </w:p>
        </w:tc>
        <w:tc>
          <w:tcPr>
            <w:tcW w:w="781" w:type="dxa"/>
            <w:tcBorders>
              <w:tl2br w:val="nil"/>
              <w:tr2bl w:val="nil"/>
            </w:tcBorders>
            <w:noWrap w:val="0"/>
            <w:vAlign w:val="center"/>
          </w:tcPr>
          <w:p>
            <w:pPr>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lang w:val="en-US" w:eastAsia="zh-CN"/>
              </w:rPr>
              <w:t>6</w:t>
            </w:r>
            <w:r>
              <w:rPr>
                <w:rFonts w:hint="eastAsia" w:ascii="仿宋" w:hAnsi="仿宋" w:eastAsia="仿宋" w:cs="仿宋"/>
                <w:snapToGrid/>
                <w:color w:val="000000" w:themeColor="text1"/>
                <w:kern w:val="0"/>
                <w:sz w:val="21"/>
                <w:szCs w:val="21"/>
                <w:highlight w:val="none"/>
              </w:rPr>
              <w:t>分</w:t>
            </w:r>
          </w:p>
        </w:tc>
        <w:tc>
          <w:tcPr>
            <w:tcW w:w="6390" w:type="dxa"/>
            <w:tcBorders>
              <w:tl2br w:val="nil"/>
              <w:tr2bl w:val="nil"/>
            </w:tcBorders>
            <w:noWrap w:val="0"/>
            <w:vAlign w:val="center"/>
          </w:tcPr>
          <w:p>
            <w:pPr>
              <w:pStyle w:val="2"/>
              <w:spacing w:after="0"/>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供应商或其所投标产品</w:t>
            </w:r>
            <w:r>
              <w:rPr>
                <w:rFonts w:hint="eastAsia" w:ascii="仿宋" w:hAnsi="仿宋" w:eastAsia="仿宋" w:cs="仿宋"/>
                <w:color w:val="000000" w:themeColor="text1"/>
                <w:kern w:val="0"/>
                <w:sz w:val="21"/>
                <w:szCs w:val="21"/>
                <w:highlight w:val="none"/>
                <w:lang w:eastAsia="zh-CN"/>
              </w:rPr>
              <w:t>近三年</w:t>
            </w:r>
            <w:r>
              <w:rPr>
                <w:rFonts w:hint="eastAsia" w:ascii="仿宋" w:hAnsi="仿宋" w:eastAsia="仿宋" w:cs="仿宋"/>
                <w:color w:val="000000" w:themeColor="text1"/>
                <w:kern w:val="0"/>
                <w:sz w:val="21"/>
                <w:szCs w:val="21"/>
                <w:highlight w:val="none"/>
              </w:rPr>
              <w:t>以来有类似产品业绩的每项业绩得</w:t>
            </w:r>
            <w:r>
              <w:rPr>
                <w:rFonts w:hint="eastAsia" w:ascii="仿宋" w:hAnsi="仿宋" w:eastAsia="仿宋" w:cs="仿宋"/>
                <w:color w:val="000000" w:themeColor="text1"/>
                <w:kern w:val="0"/>
                <w:sz w:val="21"/>
                <w:szCs w:val="21"/>
                <w:highlight w:val="none"/>
                <w:lang w:val="en-US" w:eastAsia="zh-CN"/>
              </w:rPr>
              <w:t>2</w:t>
            </w:r>
            <w:r>
              <w:rPr>
                <w:rFonts w:hint="eastAsia" w:ascii="仿宋" w:hAnsi="仿宋" w:eastAsia="仿宋" w:cs="仿宋"/>
                <w:color w:val="000000" w:themeColor="text1"/>
                <w:kern w:val="0"/>
                <w:sz w:val="21"/>
                <w:szCs w:val="21"/>
                <w:highlight w:val="none"/>
              </w:rPr>
              <w:t>分，最多得至</w:t>
            </w:r>
            <w:r>
              <w:rPr>
                <w:rFonts w:hint="eastAsia" w:ascii="仿宋" w:hAnsi="仿宋" w:eastAsia="仿宋" w:cs="仿宋"/>
                <w:color w:val="000000" w:themeColor="text1"/>
                <w:kern w:val="0"/>
                <w:sz w:val="21"/>
                <w:szCs w:val="21"/>
                <w:highlight w:val="none"/>
                <w:lang w:val="en-US" w:eastAsia="zh-CN"/>
              </w:rPr>
              <w:t>6</w:t>
            </w:r>
            <w:r>
              <w:rPr>
                <w:rFonts w:hint="eastAsia" w:ascii="仿宋" w:hAnsi="仿宋" w:eastAsia="仿宋" w:cs="仿宋"/>
                <w:color w:val="000000" w:themeColor="text1"/>
                <w:kern w:val="0"/>
                <w:sz w:val="21"/>
                <w:szCs w:val="21"/>
                <w:highlight w:val="none"/>
              </w:rPr>
              <w:t>分。</w:t>
            </w:r>
            <w:r>
              <w:rPr>
                <w:rFonts w:hint="eastAsia" w:ascii="仿宋" w:hAnsi="仿宋" w:eastAsia="仿宋" w:cs="仿宋"/>
                <w:color w:val="000000" w:themeColor="text1"/>
                <w:kern w:val="0"/>
                <w:sz w:val="21"/>
                <w:szCs w:val="21"/>
                <w:highlight w:val="none"/>
                <w:lang w:eastAsia="zh-CN"/>
              </w:rPr>
              <w:t>（</w:t>
            </w:r>
            <w:r>
              <w:rPr>
                <w:rFonts w:hint="eastAsia" w:ascii="仿宋" w:hAnsi="仿宋" w:eastAsia="仿宋" w:cs="仿宋"/>
                <w:color w:val="000000" w:themeColor="text1"/>
                <w:kern w:val="0"/>
                <w:sz w:val="21"/>
                <w:szCs w:val="21"/>
                <w:highlight w:val="none"/>
              </w:rPr>
              <w:t>提供合同或中标通知书或中标公示）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21" w:type="dxa"/>
            <w:vMerge w:val="continue"/>
            <w:tcBorders>
              <w:tl2br w:val="nil"/>
              <w:tr2bl w:val="nil"/>
            </w:tcBorders>
            <w:noWrap w:val="0"/>
            <w:vAlign w:val="center"/>
          </w:tcPr>
          <w:p>
            <w:pPr>
              <w:widowControl/>
              <w:rPr>
                <w:rFonts w:hint="eastAsia" w:ascii="仿宋" w:hAnsi="仿宋" w:eastAsia="仿宋" w:cs="仿宋"/>
                <w:snapToGrid/>
                <w:color w:val="000000" w:themeColor="text1"/>
                <w:kern w:val="0"/>
                <w:sz w:val="21"/>
                <w:szCs w:val="21"/>
                <w:highlight w:val="none"/>
              </w:rPr>
            </w:pPr>
          </w:p>
        </w:tc>
        <w:tc>
          <w:tcPr>
            <w:tcW w:w="1215" w:type="dxa"/>
            <w:tcBorders>
              <w:tl2br w:val="nil"/>
              <w:tr2bl w:val="nil"/>
            </w:tcBorders>
            <w:noWrap w:val="0"/>
            <w:vAlign w:val="center"/>
          </w:tcPr>
          <w:p>
            <w:pPr>
              <w:widowControl/>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color w:val="000000" w:themeColor="text1"/>
                <w:sz w:val="21"/>
                <w:szCs w:val="21"/>
                <w:highlight w:val="none"/>
              </w:rPr>
              <w:t>投标文件的编制</w:t>
            </w:r>
          </w:p>
        </w:tc>
        <w:tc>
          <w:tcPr>
            <w:tcW w:w="781" w:type="dxa"/>
            <w:tcBorders>
              <w:tl2br w:val="nil"/>
              <w:tr2bl w:val="nil"/>
            </w:tcBorders>
            <w:noWrap w:val="0"/>
            <w:vAlign w:val="center"/>
          </w:tcPr>
          <w:p>
            <w:pPr>
              <w:jc w:val="center"/>
              <w:rPr>
                <w:rFonts w:hint="eastAsia" w:ascii="仿宋" w:hAnsi="仿宋" w:eastAsia="仿宋" w:cs="仿宋"/>
                <w:snapToGrid/>
                <w:color w:val="000000" w:themeColor="text1"/>
                <w:kern w:val="0"/>
                <w:sz w:val="21"/>
                <w:szCs w:val="21"/>
                <w:highlight w:val="none"/>
              </w:rPr>
            </w:pPr>
            <w:r>
              <w:rPr>
                <w:rFonts w:hint="eastAsia" w:ascii="仿宋" w:hAnsi="仿宋" w:eastAsia="仿宋" w:cs="仿宋"/>
                <w:snapToGrid/>
                <w:color w:val="000000" w:themeColor="text1"/>
                <w:kern w:val="0"/>
                <w:sz w:val="21"/>
                <w:szCs w:val="21"/>
                <w:highlight w:val="none"/>
              </w:rPr>
              <w:t>2分</w:t>
            </w:r>
          </w:p>
        </w:tc>
        <w:tc>
          <w:tcPr>
            <w:tcW w:w="6390" w:type="dxa"/>
            <w:tcBorders>
              <w:tl2br w:val="nil"/>
              <w:tr2bl w:val="nil"/>
            </w:tcBorders>
            <w:noWrap w:val="0"/>
            <w:vAlign w:val="center"/>
          </w:tcPr>
          <w:p>
            <w:pPr>
              <w:pStyle w:val="2"/>
              <w:spacing w:after="0"/>
              <w:rPr>
                <w:rFonts w:hint="eastAsia" w:ascii="仿宋" w:hAnsi="仿宋" w:eastAsia="仿宋" w:cs="仿宋"/>
                <w:color w:val="000000" w:themeColor="text1"/>
                <w:kern w:val="0"/>
                <w:sz w:val="21"/>
                <w:szCs w:val="21"/>
                <w:highlight w:val="none"/>
              </w:rPr>
            </w:pPr>
            <w:r>
              <w:rPr>
                <w:rFonts w:hint="eastAsia" w:ascii="仿宋" w:hAnsi="仿宋" w:eastAsia="仿宋" w:cs="仿宋"/>
                <w:color w:val="000000" w:themeColor="text1"/>
                <w:kern w:val="0"/>
                <w:sz w:val="21"/>
                <w:szCs w:val="21"/>
                <w:highlight w:val="none"/>
              </w:rPr>
              <w:t>投标文件编制完整，格式规范、装订整齐、符合招标文件要求的得2 分。投标文件存在其他错漏的，每项（次）扣 0.5 分；投标文件有关内容前后矛盾、与招标文件要求不一致等，评标委员会允许且需要通过询标等程序进行澄清的，该项不得分。</w:t>
            </w:r>
          </w:p>
        </w:tc>
      </w:tr>
    </w:tbl>
    <w:p>
      <w:pPr>
        <w:pStyle w:val="6"/>
        <w:rPr>
          <w:rFonts w:hAnsi="宋体"/>
          <w:sz w:val="24"/>
          <w:szCs w:val="24"/>
        </w:rPr>
      </w:pPr>
      <w:bookmarkStart w:id="34" w:name="_Toc528493167"/>
      <w:bookmarkStart w:id="35" w:name="_Toc528493579"/>
      <w:bookmarkStart w:id="36" w:name="_Toc528493134"/>
      <w:bookmarkStart w:id="37" w:name="_Toc528494285"/>
      <w:bookmarkStart w:id="38" w:name="_Toc528493086"/>
    </w:p>
    <w:p>
      <w:pPr>
        <w:pStyle w:val="11"/>
        <w:rPr>
          <w:rFonts w:hint="eastAsia" w:ascii="宋体" w:hAnsi="宋体" w:cs="宋体"/>
        </w:rPr>
      </w:pPr>
    </w:p>
    <w:p>
      <w:pPr>
        <w:pStyle w:val="11"/>
        <w:rPr>
          <w:rFonts w:hint="eastAsia" w:ascii="宋体" w:hAnsi="宋体" w:cs="宋体"/>
        </w:rPr>
      </w:pPr>
    </w:p>
    <w:p>
      <w:pPr>
        <w:pStyle w:val="11"/>
        <w:rPr>
          <w:rFonts w:ascii="宋体" w:hAnsi="宋体" w:cs="宋体"/>
        </w:rPr>
      </w:pPr>
      <w:r>
        <w:rPr>
          <w:rFonts w:hint="eastAsia" w:ascii="宋体" w:hAnsi="宋体" w:cs="宋体"/>
        </w:rPr>
        <w:t>第四章  采购项目内容及要求</w:t>
      </w:r>
      <w:bookmarkEnd w:id="34"/>
      <w:bookmarkEnd w:id="35"/>
      <w:bookmarkEnd w:id="36"/>
      <w:bookmarkEnd w:id="37"/>
      <w:bookmarkEnd w:id="38"/>
    </w:p>
    <w:p>
      <w:pPr>
        <w:spacing w:line="420" w:lineRule="exact"/>
        <w:rPr>
          <w:rFonts w:ascii="宋体" w:cs="宋体"/>
          <w:sz w:val="18"/>
          <w:szCs w:val="18"/>
        </w:rPr>
      </w:pPr>
      <w:r>
        <w:rPr>
          <w:rFonts w:hint="eastAsia" w:ascii="宋体" w:hAnsi="宋体" w:cs="宋体"/>
          <w:b/>
          <w:bCs/>
          <w:sz w:val="24"/>
        </w:rPr>
        <w:t>一、项目内容：</w:t>
      </w:r>
    </w:p>
    <w:p>
      <w:pPr>
        <w:spacing w:line="420" w:lineRule="exact"/>
        <w:ind w:firstLine="480" w:firstLineChars="200"/>
        <w:rPr>
          <w:rFonts w:hint="eastAsia" w:ascii="宋体" w:hAnsi="宋体" w:cs="宋体"/>
          <w:color w:val="FF0000"/>
          <w:sz w:val="24"/>
          <w:lang w:val="zh-CN"/>
        </w:rPr>
      </w:pPr>
      <w:r>
        <w:rPr>
          <w:rFonts w:ascii="宋体" w:hAnsi="宋体" w:cs="宋体"/>
          <w:sz w:val="24"/>
        </w:rPr>
        <w:t>1.</w:t>
      </w:r>
      <w:r>
        <w:rPr>
          <w:rFonts w:hint="eastAsia" w:ascii="宋体" w:hAnsi="宋体" w:cs="宋体"/>
          <w:sz w:val="24"/>
        </w:rPr>
        <w:t>项目名称：</w:t>
      </w:r>
      <w:r>
        <w:rPr>
          <w:rFonts w:hint="eastAsia" w:ascii="宋体" w:hAnsi="宋体" w:cs="宋体"/>
          <w:color w:val="000000" w:themeColor="text1"/>
          <w:sz w:val="24"/>
          <w:lang w:val="zh-CN"/>
        </w:rPr>
        <w:t>过敏源检测分析仪采购项目；</w:t>
      </w:r>
    </w:p>
    <w:p>
      <w:pPr>
        <w:spacing w:line="420" w:lineRule="exact"/>
        <w:ind w:firstLine="480" w:firstLineChars="200"/>
        <w:rPr>
          <w:rFonts w:hint="eastAsia" w:ascii="宋体" w:eastAsia="宋体" w:cs="宋体"/>
          <w:sz w:val="24"/>
          <w:lang w:eastAsia="zh-CN"/>
        </w:rPr>
      </w:pPr>
      <w:r>
        <w:rPr>
          <w:rFonts w:ascii="宋体" w:hAnsi="宋体" w:cs="宋体"/>
          <w:sz w:val="24"/>
        </w:rPr>
        <w:t>2.</w:t>
      </w:r>
      <w:r>
        <w:rPr>
          <w:rFonts w:hint="eastAsia" w:ascii="宋体" w:hAnsi="宋体" w:cs="宋体"/>
          <w:sz w:val="24"/>
        </w:rPr>
        <w:t>采购方式：竞争性磋商</w:t>
      </w:r>
      <w:r>
        <w:rPr>
          <w:rFonts w:hint="eastAsia" w:ascii="宋体" w:hAnsi="宋体" w:cs="宋体"/>
          <w:sz w:val="24"/>
          <w:lang w:eastAsia="zh-CN"/>
        </w:rPr>
        <w:t>；</w:t>
      </w:r>
    </w:p>
    <w:p>
      <w:pPr>
        <w:spacing w:line="420" w:lineRule="exact"/>
        <w:ind w:firstLine="480" w:firstLineChars="200"/>
        <w:rPr>
          <w:rFonts w:hint="default" w:ascii="宋体" w:hAnsi="宋体" w:eastAsia="宋体" w:cs="宋体"/>
          <w:color w:val="FF0000"/>
          <w:sz w:val="24"/>
          <w:lang w:val="en-US" w:eastAsia="zh-CN"/>
        </w:rPr>
      </w:pPr>
      <w:r>
        <w:rPr>
          <w:rFonts w:ascii="宋体" w:hAnsi="宋体" w:cs="宋体"/>
          <w:color w:val="000000"/>
          <w:sz w:val="24"/>
        </w:rPr>
        <w:t>3.</w:t>
      </w:r>
      <w:r>
        <w:rPr>
          <w:rFonts w:hint="eastAsia" w:ascii="宋体" w:hAnsi="宋体" w:cs="宋体"/>
          <w:color w:val="000000"/>
          <w:sz w:val="24"/>
        </w:rPr>
        <w:t>预算金额：</w:t>
      </w:r>
      <w:r>
        <w:rPr>
          <w:rFonts w:hint="eastAsia" w:ascii="宋体" w:hAnsi="宋体" w:cs="宋体"/>
          <w:color w:val="000000"/>
          <w:sz w:val="24"/>
          <w:lang w:val="en-US" w:eastAsia="zh-CN"/>
        </w:rPr>
        <w:t>4.5</w:t>
      </w:r>
      <w:r>
        <w:rPr>
          <w:rFonts w:hint="eastAsia" w:ascii="宋体" w:hAnsi="宋体" w:cs="宋体"/>
          <w:color w:val="000000" w:themeColor="text1"/>
          <w:sz w:val="24"/>
          <w:lang w:val="en-US" w:eastAsia="zh-CN"/>
        </w:rPr>
        <w:t>万元；</w:t>
      </w:r>
    </w:p>
    <w:p>
      <w:pPr>
        <w:spacing w:line="420" w:lineRule="exact"/>
        <w:ind w:firstLine="480" w:firstLineChars="200"/>
        <w:rPr>
          <w:rFonts w:hint="eastAsia" w:ascii="宋体" w:hAnsi="宋体" w:eastAsia="宋体" w:cs="宋体"/>
          <w:sz w:val="24"/>
          <w:szCs w:val="24"/>
          <w:lang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szCs w:val="24"/>
        </w:rPr>
        <w:t>交货地点：鄂东医疗集团市</w:t>
      </w:r>
      <w:r>
        <w:rPr>
          <w:rFonts w:hint="eastAsia" w:ascii="宋体" w:hAnsi="宋体" w:cs="宋体"/>
          <w:sz w:val="24"/>
          <w:szCs w:val="24"/>
          <w:lang w:eastAsia="zh-CN"/>
        </w:rPr>
        <w:t>市妇幼保健院</w:t>
      </w:r>
      <w:r>
        <w:rPr>
          <w:rFonts w:hint="eastAsia" w:ascii="宋体" w:hAnsi="宋体" w:cs="宋体"/>
          <w:sz w:val="24"/>
          <w:szCs w:val="24"/>
        </w:rPr>
        <w:t>医院指定地点</w:t>
      </w:r>
      <w:r>
        <w:rPr>
          <w:rFonts w:hint="eastAsia" w:ascii="宋体" w:hAnsi="宋体" w:cs="宋体"/>
          <w:sz w:val="24"/>
          <w:szCs w:val="24"/>
          <w:lang w:eastAsia="zh-CN"/>
        </w:rPr>
        <w:t>；</w:t>
      </w:r>
    </w:p>
    <w:p>
      <w:pPr>
        <w:spacing w:line="420" w:lineRule="exact"/>
        <w:ind w:firstLine="480" w:firstLineChars="200"/>
        <w:rPr>
          <w:rFonts w:hint="eastAsia" w:ascii="宋体" w:hAnsi="宋体" w:eastAsia="宋体" w:cs="宋体"/>
          <w:sz w:val="24"/>
          <w:szCs w:val="24"/>
          <w:lang w:eastAsia="zh-CN"/>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szCs w:val="24"/>
        </w:rPr>
        <w:t>交货方式：免费上门安装调试</w:t>
      </w:r>
      <w:r>
        <w:rPr>
          <w:rFonts w:hint="eastAsia" w:ascii="宋体" w:hAnsi="宋体" w:cs="宋体"/>
          <w:sz w:val="24"/>
        </w:rPr>
        <w:t>至设备正常使用，验收合格</w:t>
      </w:r>
      <w:r>
        <w:rPr>
          <w:rFonts w:hint="eastAsia" w:ascii="宋体" w:hAnsi="宋体" w:cs="宋体"/>
          <w:sz w:val="24"/>
          <w:lang w:eastAsia="zh-CN"/>
        </w:rPr>
        <w:t>；</w:t>
      </w:r>
    </w:p>
    <w:p>
      <w:pPr>
        <w:spacing w:line="420" w:lineRule="exact"/>
        <w:ind w:firstLine="480" w:firstLineChars="200"/>
        <w:rPr>
          <w:rFonts w:hint="eastAsia" w:ascii="宋体" w:hAnsi="宋体" w:eastAsia="宋体" w:cs="宋体"/>
          <w:sz w:val="24"/>
          <w:szCs w:val="24"/>
          <w:lang w:eastAsia="zh-CN"/>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szCs w:val="24"/>
        </w:rPr>
        <w:t>质</w:t>
      </w:r>
      <w:r>
        <w:rPr>
          <w:rFonts w:hint="eastAsia" w:ascii="宋体" w:hAnsi="宋体" w:cs="宋体"/>
          <w:sz w:val="24"/>
        </w:rPr>
        <w:t>保</w:t>
      </w:r>
      <w:r>
        <w:rPr>
          <w:rFonts w:hint="eastAsia" w:ascii="宋体" w:hAnsi="宋体" w:cs="宋体"/>
          <w:sz w:val="24"/>
          <w:szCs w:val="24"/>
        </w:rPr>
        <w:t>期：技术</w:t>
      </w:r>
      <w:r>
        <w:rPr>
          <w:rFonts w:hint="eastAsia" w:ascii="宋体" w:hAnsi="宋体" w:cs="宋体"/>
          <w:sz w:val="24"/>
        </w:rPr>
        <w:t>规范及要求中标明</w:t>
      </w:r>
      <w:r>
        <w:rPr>
          <w:rFonts w:hint="eastAsia" w:ascii="宋体" w:hAnsi="宋体" w:cs="宋体"/>
          <w:sz w:val="24"/>
          <w:szCs w:val="24"/>
        </w:rPr>
        <w:t>质</w:t>
      </w:r>
      <w:r>
        <w:rPr>
          <w:rFonts w:hint="eastAsia" w:ascii="宋体" w:hAnsi="宋体" w:cs="宋体"/>
          <w:sz w:val="24"/>
        </w:rPr>
        <w:t>保</w:t>
      </w:r>
      <w:r>
        <w:rPr>
          <w:rFonts w:hint="eastAsia" w:ascii="宋体" w:hAnsi="宋体" w:cs="宋体"/>
          <w:sz w:val="24"/>
          <w:szCs w:val="24"/>
        </w:rPr>
        <w:t>期的以其为准，未标明的均为验收合格后</w:t>
      </w:r>
      <w:r>
        <w:rPr>
          <w:rFonts w:hint="eastAsia" w:ascii="宋体" w:hAnsi="宋体" w:cs="宋体"/>
          <w:sz w:val="24"/>
        </w:rPr>
        <w:t>不少于两年</w:t>
      </w:r>
      <w:r>
        <w:rPr>
          <w:rFonts w:hint="eastAsia" w:ascii="宋体" w:hAnsi="宋体" w:cs="宋体"/>
          <w:sz w:val="24"/>
          <w:lang w:eastAsia="zh-CN"/>
        </w:rPr>
        <w:t>；</w:t>
      </w:r>
    </w:p>
    <w:p>
      <w:pPr>
        <w:spacing w:line="420" w:lineRule="exact"/>
        <w:ind w:firstLine="480" w:firstLineChars="200"/>
        <w:rPr>
          <w:rFonts w:hint="eastAsia" w:ascii="宋体" w:hAnsi="宋体" w:eastAsia="宋体" w:cs="宋体"/>
          <w:b/>
          <w:bCs/>
          <w:sz w:val="28"/>
          <w:szCs w:val="21"/>
          <w:lang w:eastAsia="zh-CN"/>
        </w:rPr>
      </w:pPr>
      <w:r>
        <w:rPr>
          <w:rFonts w:hint="eastAsia" w:ascii="宋体" w:hAnsi="宋体" w:cs="宋体"/>
          <w:sz w:val="24"/>
          <w:lang w:val="en-US" w:eastAsia="zh-CN"/>
        </w:rPr>
        <w:t>8</w:t>
      </w:r>
      <w:r>
        <w:rPr>
          <w:rFonts w:ascii="宋体" w:hAnsi="宋体" w:cs="宋体"/>
          <w:sz w:val="24"/>
        </w:rPr>
        <w:t>.</w:t>
      </w:r>
      <w:r>
        <w:rPr>
          <w:rFonts w:hint="eastAsia" w:ascii="宋体" w:hAnsi="宋体" w:cs="宋体"/>
          <w:sz w:val="24"/>
        </w:rPr>
        <w:t>质量要求：符合国家管理、质检部门合格标准</w:t>
      </w:r>
      <w:bookmarkStart w:id="39" w:name="_Toc528494286"/>
      <w:bookmarkStart w:id="40" w:name="_Toc528493168"/>
      <w:bookmarkStart w:id="41" w:name="_Hlk18936003"/>
      <w:bookmarkStart w:id="42" w:name="_Toc528493087"/>
      <w:bookmarkStart w:id="43" w:name="_Toc528493580"/>
      <w:bookmarkStart w:id="44" w:name="_Toc528493135"/>
      <w:r>
        <w:rPr>
          <w:rFonts w:hint="eastAsia" w:ascii="宋体" w:hAnsi="宋体" w:cs="宋体"/>
          <w:sz w:val="24"/>
          <w:lang w:eastAsia="zh-CN"/>
        </w:rPr>
        <w:t>；</w:t>
      </w:r>
    </w:p>
    <w:p>
      <w:pPr>
        <w:spacing w:line="360" w:lineRule="auto"/>
        <w:rPr>
          <w:rFonts w:ascii="宋体" w:hAnsi="宋体" w:cs="宋体"/>
          <w:b/>
          <w:bCs/>
          <w:sz w:val="24"/>
          <w:szCs w:val="24"/>
        </w:rPr>
      </w:pPr>
      <w:r>
        <w:rPr>
          <w:rFonts w:hint="eastAsia" w:ascii="宋体" w:hAnsi="宋体" w:cs="宋体"/>
          <w:b/>
          <w:bCs/>
          <w:sz w:val="24"/>
          <w:szCs w:val="24"/>
        </w:rPr>
        <w:t>二、技术规格及要求：</w:t>
      </w:r>
    </w:p>
    <w:bookmarkEnd w:id="39"/>
    <w:bookmarkEnd w:id="40"/>
    <w:bookmarkEnd w:id="41"/>
    <w:bookmarkEnd w:id="42"/>
    <w:bookmarkEnd w:id="43"/>
    <w:bookmarkEnd w:id="44"/>
    <w:tbl>
      <w:tblPr>
        <w:tblStyle w:val="12"/>
        <w:tblpPr w:leftFromText="180" w:rightFromText="180" w:vertAnchor="text" w:horzAnchor="margin" w:tblpY="6"/>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514"/>
        <w:gridCol w:w="386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65" w:type="dxa"/>
            <w:noWrap w:val="0"/>
            <w:vAlign w:val="center"/>
          </w:tcPr>
          <w:p>
            <w:pPr>
              <w:adjustRightInd w:val="0"/>
              <w:snapToGrid w:val="0"/>
              <w:jc w:val="left"/>
              <w:rPr>
                <w:rFonts w:ascii="宋体" w:hAnsi="宋体"/>
                <w:b/>
                <w:szCs w:val="21"/>
              </w:rPr>
            </w:pPr>
            <w:r>
              <w:rPr>
                <w:rFonts w:hint="eastAsia" w:ascii="宋体" w:hAnsi="宋体"/>
                <w:b/>
                <w:szCs w:val="21"/>
              </w:rPr>
              <w:t>医疗设备项目</w:t>
            </w:r>
          </w:p>
        </w:tc>
        <w:tc>
          <w:tcPr>
            <w:tcW w:w="8196" w:type="dxa"/>
            <w:gridSpan w:val="3"/>
            <w:noWrap w:val="0"/>
            <w:vAlign w:val="center"/>
          </w:tcPr>
          <w:p>
            <w:pPr>
              <w:adjustRightInd w:val="0"/>
              <w:snapToGrid w:val="0"/>
              <w:ind w:left="195"/>
              <w:jc w:val="center"/>
              <w:rPr>
                <w:rFonts w:hint="eastAsia" w:ascii="宋体" w:hAnsi="宋体"/>
                <w:b/>
                <w:szCs w:val="21"/>
              </w:rPr>
            </w:pPr>
            <w:r>
              <w:rPr>
                <w:rFonts w:hint="eastAsia" w:ascii="宋体" w:hAnsi="宋体" w:eastAsia="宋体" w:cs="宋体"/>
                <w:i w:val="0"/>
                <w:color w:val="000000"/>
                <w:kern w:val="0"/>
                <w:sz w:val="21"/>
                <w:szCs w:val="21"/>
                <w:u w:val="none"/>
                <w:lang w:val="en-US" w:eastAsia="zh-CN" w:bidi="ar"/>
              </w:rPr>
              <w:t>过敏源检测分析仪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65" w:type="dxa"/>
            <w:noWrap w:val="0"/>
            <w:vAlign w:val="center"/>
          </w:tcPr>
          <w:p>
            <w:pPr>
              <w:adjustRightInd w:val="0"/>
              <w:snapToGrid w:val="0"/>
              <w:jc w:val="center"/>
              <w:rPr>
                <w:rFonts w:ascii="宋体" w:hAnsi="宋体"/>
                <w:b/>
                <w:szCs w:val="21"/>
              </w:rPr>
            </w:pPr>
            <w:r>
              <w:rPr>
                <w:rFonts w:hint="eastAsia" w:ascii="宋体" w:hAnsi="宋体"/>
                <w:b/>
                <w:szCs w:val="21"/>
              </w:rPr>
              <w:t>数量</w:t>
            </w:r>
          </w:p>
        </w:tc>
        <w:tc>
          <w:tcPr>
            <w:tcW w:w="2514" w:type="dxa"/>
            <w:noWrap w:val="0"/>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1台套</w:t>
            </w:r>
          </w:p>
        </w:tc>
        <w:tc>
          <w:tcPr>
            <w:tcW w:w="3867" w:type="dxa"/>
            <w:noWrap w:val="0"/>
            <w:vAlign w:val="center"/>
          </w:tcPr>
          <w:p>
            <w:pPr>
              <w:adjustRightInd w:val="0"/>
              <w:snapToGrid w:val="0"/>
              <w:jc w:val="center"/>
              <w:rPr>
                <w:rFonts w:ascii="宋体" w:hAnsi="宋体"/>
                <w:b/>
                <w:szCs w:val="21"/>
              </w:rPr>
            </w:pPr>
            <w:r>
              <w:rPr>
                <w:rFonts w:hint="eastAsia" w:ascii="宋体" w:hAnsi="宋体"/>
                <w:b/>
                <w:szCs w:val="21"/>
              </w:rPr>
              <w:t>预算金额（万元）</w:t>
            </w:r>
          </w:p>
        </w:tc>
        <w:tc>
          <w:tcPr>
            <w:tcW w:w="1815" w:type="dxa"/>
            <w:noWrap w:val="0"/>
            <w:vAlign w:val="center"/>
          </w:tcPr>
          <w:p>
            <w:pPr>
              <w:adjustRightInd w:val="0"/>
              <w:snapToGrid w:val="0"/>
              <w:ind w:firstLine="210" w:firstLineChars="100"/>
              <w:jc w:val="both"/>
              <w:rPr>
                <w:rFonts w:hint="default" w:ascii="宋体" w:hAnsi="宋体" w:eastAsia="宋体"/>
                <w:szCs w:val="21"/>
                <w:lang w:val="en-US" w:eastAsia="zh-CN"/>
              </w:rPr>
            </w:pPr>
            <w:r>
              <w:rPr>
                <w:rFonts w:hint="eastAsia" w:ascii="宋体" w:hAnsi="宋体" w:eastAsia="宋体"/>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861" w:type="dxa"/>
            <w:gridSpan w:val="4"/>
            <w:noWrap w:val="0"/>
            <w:vAlign w:val="top"/>
          </w:tcPr>
          <w:p>
            <w:pPr>
              <w:widowControl/>
              <w:jc w:val="left"/>
              <w:rPr>
                <w:rFonts w:hint="eastAsia" w:ascii="宋体" w:hAnsi="宋体"/>
                <w:b/>
                <w:szCs w:val="21"/>
                <w:lang w:val="en-US" w:eastAsia="zh-CN"/>
              </w:rPr>
            </w:pPr>
            <w:r>
              <w:rPr>
                <w:rFonts w:hint="eastAsia" w:ascii="宋体" w:hAnsi="宋体"/>
                <w:b/>
                <w:szCs w:val="21"/>
                <w:lang w:eastAsia="zh-CN"/>
              </w:rPr>
              <w:t>配置</w:t>
            </w:r>
            <w:r>
              <w:rPr>
                <w:rFonts w:hint="eastAsia" w:ascii="宋体" w:hAnsi="宋体"/>
                <w:b/>
                <w:szCs w:val="21"/>
              </w:rPr>
              <w:t>要求：</w:t>
            </w:r>
            <w:r>
              <w:rPr>
                <w:rFonts w:hint="eastAsia" w:ascii="宋体" w:hAnsi="宋体"/>
                <w:b/>
                <w:szCs w:val="21"/>
                <w:lang w:val="en-US" w:eastAsia="zh-CN"/>
              </w:rPr>
              <w:t xml:space="preserve"> </w:t>
            </w:r>
          </w:p>
          <w:p>
            <w:pPr>
              <w:keepNext w:val="0"/>
              <w:keepLines w:val="0"/>
              <w:widowControl/>
              <w:numPr>
                <w:ilvl w:val="0"/>
                <w:numId w:val="0"/>
              </w:numPr>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功能：实现免疫捕获法过敏原特异性IgE抗体及总IgE抗体的定量自动化检测。</w:t>
            </w:r>
          </w:p>
          <w:p>
            <w:pPr>
              <w:keepNext w:val="0"/>
              <w:keepLines w:val="0"/>
              <w:widowControl/>
              <w:numPr>
                <w:ilvl w:val="0"/>
                <w:numId w:val="0"/>
              </w:numPr>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配置清单：</w:t>
            </w:r>
          </w:p>
          <w:p>
            <w:pPr>
              <w:keepNext w:val="0"/>
              <w:keepLines w:val="0"/>
              <w:widowControl/>
              <w:numPr>
                <w:ilvl w:val="0"/>
                <w:numId w:val="2"/>
              </w:numPr>
              <w:suppressLineNumbers w:val="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电脑主机、显示器、控制软件：各1套，要求显示器不小于</w:t>
            </w:r>
            <w:r>
              <w:rPr>
                <w:rFonts w:hint="eastAsia" w:ascii="宋体" w:hAnsi="宋体" w:eastAsia="宋体" w:cs="宋体"/>
                <w:b w:val="0"/>
                <w:bCs/>
                <w:i w:val="0"/>
                <w:color w:val="000000"/>
                <w:kern w:val="0"/>
                <w:sz w:val="21"/>
                <w:szCs w:val="21"/>
                <w:u w:val="none"/>
                <w:lang w:val="en-US" w:eastAsia="zh-CN" w:bidi="ar"/>
              </w:rPr>
              <w:t>19寸；</w:t>
            </w:r>
          </w:p>
          <w:p>
            <w:pPr>
              <w:keepNext w:val="0"/>
              <w:keepLines w:val="0"/>
              <w:widowControl/>
              <w:numPr>
                <w:ilvl w:val="0"/>
                <w:numId w:val="2"/>
              </w:numPr>
              <w:suppressLineNumbers w:val="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仪器主机平台：1套，</w:t>
            </w:r>
            <w:r>
              <w:rPr>
                <w:rFonts w:hint="eastAsia" w:ascii="宋体" w:hAnsi="宋体" w:eastAsia="宋体" w:cs="宋体"/>
                <w:b w:val="0"/>
                <w:bCs/>
                <w:i w:val="0"/>
                <w:color w:val="000000"/>
                <w:kern w:val="0"/>
                <w:sz w:val="21"/>
                <w:szCs w:val="21"/>
                <w:u w:val="none"/>
                <w:lang w:val="en-US" w:eastAsia="zh-CN" w:bidi="ar"/>
              </w:rPr>
              <w:t>含 仪器外构件、工作平台；</w:t>
            </w:r>
          </w:p>
          <w:p>
            <w:pPr>
              <w:keepNext w:val="0"/>
              <w:keepLines w:val="0"/>
              <w:widowControl/>
              <w:numPr>
                <w:ilvl w:val="0"/>
                <w:numId w:val="2"/>
              </w:numPr>
              <w:suppressLineNumbers w:val="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加样泵：2套，规格：</w:t>
            </w:r>
            <w:r>
              <w:rPr>
                <w:rFonts w:hint="eastAsia" w:ascii="宋体" w:hAnsi="宋体" w:eastAsia="宋体" w:cs="宋体"/>
                <w:b w:val="0"/>
                <w:bCs/>
                <w:i w:val="0"/>
                <w:color w:val="000000"/>
                <w:kern w:val="0"/>
                <w:sz w:val="21"/>
                <w:szCs w:val="21"/>
                <w:u w:val="none"/>
                <w:lang w:val="en-US" w:eastAsia="zh-CN" w:bidi="ar"/>
              </w:rPr>
              <w:t>1000ul；</w:t>
            </w:r>
          </w:p>
          <w:p>
            <w:pPr>
              <w:keepNext w:val="0"/>
              <w:keepLines w:val="0"/>
              <w:widowControl/>
              <w:numPr>
                <w:ilvl w:val="0"/>
                <w:numId w:val="2"/>
              </w:numPr>
              <w:suppressLineNumbers w:val="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孵育模块：4个，振荡孵育器；</w:t>
            </w:r>
          </w:p>
          <w:p>
            <w:pPr>
              <w:keepNext w:val="0"/>
              <w:keepLines w:val="0"/>
              <w:widowControl/>
              <w:numPr>
                <w:ilvl w:val="0"/>
                <w:numId w:val="2"/>
              </w:numPr>
              <w:suppressLineNumbers w:val="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洗衣板：1套；</w:t>
            </w:r>
          </w:p>
          <w:p>
            <w:pPr>
              <w:keepNext w:val="0"/>
              <w:keepLines w:val="0"/>
              <w:widowControl/>
              <w:numPr>
                <w:ilvl w:val="0"/>
                <w:numId w:val="2"/>
              </w:numPr>
              <w:suppressLineNumbers w:val="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酶标仪：1台，</w:t>
            </w:r>
            <w:r>
              <w:rPr>
                <w:rFonts w:hint="eastAsia" w:ascii="宋体" w:hAnsi="宋体" w:eastAsia="宋体" w:cs="宋体"/>
                <w:b w:val="0"/>
                <w:bCs/>
                <w:i w:val="0"/>
                <w:color w:val="000000"/>
                <w:kern w:val="0"/>
                <w:sz w:val="21"/>
                <w:szCs w:val="21"/>
                <w:u w:val="none"/>
                <w:lang w:val="en-US" w:eastAsia="zh-CN" w:bidi="ar"/>
              </w:rPr>
              <w:t>标配滤光片：405 nm、450 nm、492 nm 、630nm；</w:t>
            </w:r>
          </w:p>
          <w:p>
            <w:pPr>
              <w:keepNext w:val="0"/>
              <w:keepLines w:val="0"/>
              <w:widowControl/>
              <w:numPr>
                <w:ilvl w:val="0"/>
                <w:numId w:val="2"/>
              </w:numPr>
              <w:suppressLineNumbers w:val="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平台：1套，</w:t>
            </w:r>
            <w:r>
              <w:rPr>
                <w:rFonts w:hint="eastAsia" w:ascii="宋体" w:hAnsi="宋体" w:eastAsia="宋体" w:cs="宋体"/>
                <w:b w:val="0"/>
                <w:bCs/>
                <w:i w:val="0"/>
                <w:color w:val="000000"/>
                <w:kern w:val="0"/>
                <w:sz w:val="21"/>
                <w:szCs w:val="21"/>
                <w:u w:val="none"/>
                <w:lang w:val="en-US" w:eastAsia="zh-CN" w:bidi="ar"/>
              </w:rPr>
              <w:t>含载架轨道座</w:t>
            </w:r>
            <w:r>
              <w:rPr>
                <w:rFonts w:hint="eastAsia" w:ascii="宋体" w:hAnsi="宋体" w:cs="宋体"/>
                <w:b w:val="0"/>
                <w:bCs/>
                <w:i w:val="0"/>
                <w:color w:val="000000"/>
                <w:kern w:val="0"/>
                <w:sz w:val="21"/>
                <w:szCs w:val="21"/>
                <w:u w:val="none"/>
                <w:lang w:val="en-US" w:eastAsia="zh-CN" w:bidi="ar"/>
              </w:rPr>
              <w:t>、针盒位、废针盒、脱针器；</w:t>
            </w:r>
          </w:p>
          <w:p>
            <w:pPr>
              <w:keepNext w:val="0"/>
              <w:keepLines w:val="0"/>
              <w:widowControl/>
              <w:numPr>
                <w:ilvl w:val="0"/>
                <w:numId w:val="2"/>
              </w:numPr>
              <w:suppressLineNumbers w:val="0"/>
              <w:jc w:val="left"/>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载架：1套，含：16位试管载架、96孔TIPS针盒。</w:t>
            </w:r>
          </w:p>
          <w:p>
            <w:pPr>
              <w:keepNext w:val="0"/>
              <w:keepLines w:val="0"/>
              <w:widowControl/>
              <w:numPr>
                <w:ilvl w:val="0"/>
                <w:numId w:val="0"/>
              </w:numPr>
              <w:suppressLineNumbers w:val="0"/>
              <w:jc w:val="left"/>
              <w:textAlignment w:val="center"/>
              <w:rPr>
                <w:rFonts w:hint="default" w:ascii="宋体" w:hAnsi="宋体" w:eastAsia="宋体" w:cs="宋体"/>
                <w:b w:val="0"/>
                <w:bCs/>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861" w:type="dxa"/>
            <w:gridSpan w:val="4"/>
            <w:noWrap w:val="0"/>
            <w:vAlign w:val="top"/>
          </w:tcPr>
          <w:p>
            <w:pPr>
              <w:adjustRightInd w:val="0"/>
              <w:snapToGrid w:val="0"/>
              <w:rPr>
                <w:rFonts w:hint="eastAsia" w:ascii="宋体" w:hAnsi="宋体"/>
                <w:b/>
                <w:color w:val="000000"/>
                <w:szCs w:val="21"/>
              </w:rPr>
            </w:pPr>
            <w:r>
              <w:rPr>
                <w:rFonts w:hint="eastAsia" w:ascii="宋体" w:hAnsi="宋体"/>
                <w:b/>
                <w:color w:val="000000"/>
                <w:szCs w:val="21"/>
              </w:rPr>
              <w:t>技术参数</w:t>
            </w:r>
            <w:r>
              <w:rPr>
                <w:rFonts w:hint="eastAsia" w:ascii="宋体" w:hAnsi="宋体" w:eastAsia="宋体" w:cs="宋体"/>
                <w:b/>
                <w:i w:val="0"/>
                <w:color w:val="000000"/>
                <w:kern w:val="0"/>
                <w:sz w:val="22"/>
                <w:szCs w:val="22"/>
                <w:u w:val="none"/>
                <w:lang w:val="en-US" w:eastAsia="zh-CN" w:bidi="ar"/>
              </w:rPr>
              <w:t>（※作论证依据，请详细注明）</w:t>
            </w:r>
            <w:r>
              <w:rPr>
                <w:rFonts w:hint="eastAsia" w:ascii="宋体" w:hAnsi="宋体"/>
                <w:b/>
                <w:color w:val="000000"/>
                <w:szCs w:val="21"/>
              </w:rPr>
              <w:t>：</w:t>
            </w:r>
          </w:p>
          <w:p>
            <w:pPr>
              <w:adjustRightInd w:val="0"/>
              <w:snapToGrid w:val="0"/>
              <w:rPr>
                <w:rFonts w:hint="eastAsia" w:ascii="宋体" w:hAnsi="宋体"/>
                <w:b/>
                <w:color w:val="000000"/>
                <w:szCs w:val="21"/>
              </w:rPr>
            </w:pPr>
          </w:p>
          <w:p>
            <w:pPr>
              <w:widowControl w:val="0"/>
              <w:numPr>
                <w:ilvl w:val="0"/>
                <w:numId w:val="3"/>
              </w:numPr>
              <w:jc w:val="both"/>
              <w:rPr>
                <w:rFonts w:hint="eastAsia"/>
                <w:color w:val="12100F"/>
                <w:sz w:val="22"/>
                <w:lang w:val="en-US" w:eastAsia="zh-CN"/>
              </w:rPr>
            </w:pPr>
            <w:r>
              <w:rPr>
                <w:rFonts w:hint="eastAsia"/>
                <w:color w:val="12100F"/>
                <w:sz w:val="22"/>
                <w:lang w:val="en-US" w:eastAsia="zh-CN"/>
              </w:rPr>
              <w:t>机械臂：1个机械臂，含：≥2个加样通道，用于分配标本和试剂；1个抓手，用于转移微板；</w:t>
            </w:r>
          </w:p>
          <w:p>
            <w:pPr>
              <w:widowControl w:val="0"/>
              <w:numPr>
                <w:ilvl w:val="0"/>
                <w:numId w:val="3"/>
              </w:numPr>
              <w:jc w:val="both"/>
              <w:rPr>
                <w:rFonts w:hint="default"/>
                <w:color w:val="12100F"/>
                <w:sz w:val="22"/>
                <w:lang w:val="en-US" w:eastAsia="zh-CN"/>
              </w:rPr>
            </w:pPr>
            <w:r>
              <w:rPr>
                <w:rFonts w:hint="eastAsia" w:ascii="宋体" w:hAnsi="宋体" w:cs="宋体"/>
                <w:i w:val="0"/>
                <w:color w:val="000000"/>
                <w:kern w:val="0"/>
                <w:sz w:val="22"/>
                <w:szCs w:val="22"/>
                <w:u w:val="none"/>
                <w:lang w:val="en-US" w:eastAsia="zh-CN" w:bidi="ar"/>
              </w:rPr>
              <w:t>加样模块：</w:t>
            </w:r>
          </w:p>
          <w:p>
            <w:pPr>
              <w:widowControl w:val="0"/>
              <w:numPr>
                <w:ilvl w:val="0"/>
                <w:numId w:val="0"/>
              </w:numPr>
              <w:jc w:val="both"/>
              <w:rPr>
                <w:rFonts w:hint="eastAsia"/>
                <w:color w:val="12100F"/>
                <w:sz w:val="22"/>
                <w:lang w:val="en-US" w:eastAsia="zh-CN"/>
              </w:rPr>
            </w:pPr>
            <w:r>
              <w:rPr>
                <w:rFonts w:hint="eastAsia"/>
                <w:color w:val="12100F"/>
                <w:sz w:val="22"/>
                <w:lang w:val="en-US" w:eastAsia="zh-CN"/>
              </w:rPr>
              <w:t>2.1</w:t>
            </w:r>
            <w:r>
              <w:rPr>
                <w:rFonts w:hint="eastAsia" w:ascii="宋体" w:hAnsi="宋体" w:eastAsia="宋体" w:cs="宋体"/>
                <w:i w:val="0"/>
                <w:color w:val="000000"/>
                <w:kern w:val="0"/>
                <w:sz w:val="22"/>
                <w:szCs w:val="22"/>
                <w:u w:val="none"/>
                <w:lang w:val="en-US" w:eastAsia="zh-CN" w:bidi="ar"/>
              </w:rPr>
              <w:t>※</w:t>
            </w:r>
            <w:r>
              <w:rPr>
                <w:rFonts w:hint="eastAsia"/>
                <w:color w:val="12100F"/>
                <w:sz w:val="22"/>
                <w:lang w:val="en-US" w:eastAsia="zh-CN"/>
              </w:rPr>
              <w:t>加样通道：≥2个加样通道，气动置换加样原理；各通道Y、Z方向均可独立控制，动作时互不干扰，加样通道可扩展间距：9—300mm；</w:t>
            </w:r>
          </w:p>
          <w:p>
            <w:pPr>
              <w:widowControl w:val="0"/>
              <w:numPr>
                <w:ilvl w:val="0"/>
                <w:numId w:val="0"/>
              </w:numPr>
              <w:jc w:val="both"/>
              <w:rPr>
                <w:rFonts w:hint="default"/>
                <w:color w:val="12100F"/>
                <w:sz w:val="22"/>
                <w:lang w:val="en-US" w:eastAsia="zh-CN"/>
              </w:rPr>
            </w:pPr>
            <w:r>
              <w:rPr>
                <w:rFonts w:hint="eastAsia"/>
                <w:color w:val="12100F"/>
                <w:sz w:val="22"/>
                <w:lang w:val="en-US" w:eastAsia="zh-CN"/>
              </w:rPr>
              <w:t>2.2加样针：一次性加样针；</w:t>
            </w:r>
          </w:p>
          <w:p>
            <w:pPr>
              <w:widowControl w:val="0"/>
              <w:numPr>
                <w:ilvl w:val="0"/>
                <w:numId w:val="0"/>
              </w:numPr>
              <w:jc w:val="both"/>
              <w:rPr>
                <w:rFonts w:hint="default"/>
                <w:color w:val="12100F"/>
                <w:sz w:val="22"/>
                <w:lang w:val="en-US" w:eastAsia="zh-CN"/>
              </w:rPr>
            </w:pPr>
            <w:r>
              <w:rPr>
                <w:rFonts w:hint="eastAsia"/>
                <w:color w:val="12100F"/>
                <w:sz w:val="22"/>
                <w:lang w:val="en-US" w:eastAsia="zh-CN"/>
              </w:rPr>
              <w:t>2.3液体探测：</w:t>
            </w:r>
            <w:r>
              <w:rPr>
                <w:rFonts w:hint="default"/>
                <w:color w:val="12100F"/>
                <w:sz w:val="22"/>
                <w:lang w:val="en-US" w:eastAsia="zh-CN"/>
              </w:rPr>
              <w:t>具有液面和凝块探测、报警功能，压力感应式探测原理</w:t>
            </w:r>
            <w:r>
              <w:rPr>
                <w:rFonts w:hint="eastAsia"/>
                <w:color w:val="12100F"/>
                <w:sz w:val="22"/>
                <w:lang w:val="en-US" w:eastAsia="zh-CN"/>
              </w:rPr>
              <w:t>；</w:t>
            </w:r>
          </w:p>
          <w:p>
            <w:pPr>
              <w:widowControl w:val="0"/>
              <w:numPr>
                <w:ilvl w:val="0"/>
                <w:numId w:val="0"/>
              </w:numPr>
              <w:jc w:val="both"/>
              <w:rPr>
                <w:rFonts w:hint="default"/>
                <w:color w:val="12100F"/>
                <w:sz w:val="22"/>
                <w:lang w:val="en-US" w:eastAsia="zh-CN"/>
              </w:rPr>
            </w:pPr>
            <w:r>
              <w:rPr>
                <w:rFonts w:hint="eastAsia"/>
                <w:color w:val="12100F"/>
                <w:sz w:val="22"/>
                <w:lang w:val="en-US" w:eastAsia="zh-CN"/>
              </w:rPr>
              <w:t>2.4加样精度：100ul精度 1%±2.5%，1000ul精度 0.8%±1%；</w:t>
            </w:r>
          </w:p>
          <w:p>
            <w:pPr>
              <w:widowControl w:val="0"/>
              <w:numPr>
                <w:ilvl w:val="0"/>
                <w:numId w:val="0"/>
              </w:numPr>
              <w:jc w:val="both"/>
              <w:rPr>
                <w:rFonts w:hint="default"/>
                <w:color w:val="12100F"/>
                <w:sz w:val="22"/>
                <w:lang w:val="en-US" w:eastAsia="zh-CN"/>
              </w:rPr>
            </w:pPr>
            <w:r>
              <w:rPr>
                <w:rFonts w:hint="eastAsia"/>
                <w:color w:val="12100F"/>
                <w:sz w:val="22"/>
                <w:lang w:val="en-US" w:eastAsia="zh-CN"/>
              </w:rPr>
              <w:t>2.5分配速度：标本分配速度≤2分钟/96孔板（并行分配4块微板样本时）；试剂分配速度≤2分钟/96孔板；</w:t>
            </w:r>
          </w:p>
          <w:p>
            <w:pPr>
              <w:widowControl w:val="0"/>
              <w:numPr>
                <w:ilvl w:val="0"/>
                <w:numId w:val="0"/>
              </w:numPr>
              <w:jc w:val="both"/>
              <w:rPr>
                <w:rFonts w:hint="default"/>
                <w:color w:val="12100F"/>
                <w:sz w:val="22"/>
                <w:lang w:val="en-US" w:eastAsia="zh-CN"/>
              </w:rPr>
            </w:pPr>
            <w:r>
              <w:rPr>
                <w:rFonts w:hint="eastAsia"/>
                <w:color w:val="12100F"/>
                <w:sz w:val="22"/>
                <w:lang w:val="en-US" w:eastAsia="zh-CN"/>
              </w:rPr>
              <w:t>2.6加样位：≥4个加样微板位，可并行分配标本的微板数≥4块；</w:t>
            </w:r>
          </w:p>
          <w:p>
            <w:pPr>
              <w:widowControl w:val="0"/>
              <w:numPr>
                <w:ilvl w:val="0"/>
                <w:numId w:val="0"/>
              </w:numPr>
              <w:jc w:val="both"/>
              <w:rPr>
                <w:rFonts w:hint="default"/>
                <w:color w:val="12100F"/>
                <w:sz w:val="22"/>
                <w:lang w:val="en-US" w:eastAsia="zh-CN"/>
              </w:rPr>
            </w:pPr>
            <w:r>
              <w:rPr>
                <w:rFonts w:hint="eastAsia"/>
                <w:color w:val="12100F"/>
                <w:sz w:val="22"/>
                <w:lang w:val="en-US" w:eastAsia="zh-CN"/>
              </w:rPr>
              <w:t>3、试剂位：同时放置≥21种试剂；</w:t>
            </w:r>
          </w:p>
          <w:p>
            <w:pPr>
              <w:widowControl w:val="0"/>
              <w:numPr>
                <w:ilvl w:val="0"/>
                <w:numId w:val="0"/>
              </w:numPr>
              <w:jc w:val="both"/>
              <w:rPr>
                <w:rFonts w:hint="default"/>
                <w:color w:val="12100F"/>
                <w:sz w:val="22"/>
                <w:lang w:val="en-US" w:eastAsia="zh-CN"/>
              </w:rPr>
            </w:pPr>
            <w:r>
              <w:rPr>
                <w:rFonts w:hint="eastAsia"/>
                <w:color w:val="12100F"/>
                <w:sz w:val="22"/>
                <w:lang w:val="en-US" w:eastAsia="zh-CN"/>
              </w:rPr>
              <w:t>4、抓手模块：压力感应式机械抓手，实时监测抓板状态，能自适应各种宽度类型的微板；</w:t>
            </w:r>
          </w:p>
          <w:p>
            <w:pPr>
              <w:widowControl w:val="0"/>
              <w:numPr>
                <w:ilvl w:val="0"/>
                <w:numId w:val="0"/>
              </w:numPr>
              <w:jc w:val="both"/>
              <w:rPr>
                <w:rFonts w:hint="default"/>
                <w:color w:val="12100F"/>
                <w:sz w:val="22"/>
                <w:lang w:val="en-US" w:eastAsia="zh-CN"/>
              </w:rPr>
            </w:pPr>
            <w:r>
              <w:rPr>
                <w:rFonts w:hint="eastAsia"/>
                <w:color w:val="12100F"/>
                <w:sz w:val="22"/>
                <w:lang w:val="en-US" w:eastAsia="zh-CN"/>
              </w:rPr>
              <w:t>5、</w:t>
            </w:r>
            <w:r>
              <w:rPr>
                <w:rFonts w:hint="default"/>
                <w:color w:val="12100F"/>
                <w:sz w:val="22"/>
                <w:lang w:val="en-US" w:eastAsia="zh-CN"/>
              </w:rPr>
              <w:t>孵育模块</w:t>
            </w:r>
            <w:r>
              <w:rPr>
                <w:rFonts w:hint="eastAsia"/>
                <w:color w:val="12100F"/>
                <w:sz w:val="22"/>
                <w:lang w:val="en-US" w:eastAsia="zh-CN"/>
              </w:rPr>
              <w:t>：</w:t>
            </w:r>
          </w:p>
          <w:p>
            <w:pPr>
              <w:widowControl w:val="0"/>
              <w:numPr>
                <w:ilvl w:val="0"/>
                <w:numId w:val="0"/>
              </w:numPr>
              <w:jc w:val="both"/>
              <w:rPr>
                <w:rFonts w:hint="eastAsia"/>
                <w:color w:val="12100F"/>
                <w:sz w:val="22"/>
                <w:lang w:val="en-US" w:eastAsia="zh-CN"/>
              </w:rPr>
            </w:pPr>
            <w:r>
              <w:rPr>
                <w:rFonts w:hint="eastAsia"/>
                <w:color w:val="12100F"/>
                <w:sz w:val="22"/>
                <w:lang w:val="en-US" w:eastAsia="zh-CN"/>
              </w:rPr>
              <w:t>5.1振荡孵育模块：≥4个振荡孵育模块，每个模块均可独立振荡和独立控温孵育；</w:t>
            </w:r>
          </w:p>
          <w:p>
            <w:pPr>
              <w:widowControl w:val="0"/>
              <w:numPr>
                <w:ilvl w:val="0"/>
                <w:numId w:val="0"/>
              </w:numPr>
              <w:jc w:val="both"/>
              <w:rPr>
                <w:rFonts w:hint="eastAsia"/>
                <w:color w:val="12100F"/>
                <w:sz w:val="22"/>
                <w:lang w:val="en-US" w:eastAsia="zh-CN"/>
              </w:rPr>
            </w:pPr>
            <w:r>
              <w:rPr>
                <w:rFonts w:hint="eastAsia"/>
                <w:color w:val="12100F"/>
                <w:sz w:val="22"/>
                <w:lang w:val="en-US" w:eastAsia="zh-CN"/>
              </w:rPr>
              <w:t>5.2控温范围：不小于32—50℃；</w:t>
            </w:r>
          </w:p>
          <w:p>
            <w:pPr>
              <w:widowControl w:val="0"/>
              <w:numPr>
                <w:ilvl w:val="0"/>
                <w:numId w:val="0"/>
              </w:numPr>
              <w:jc w:val="both"/>
              <w:rPr>
                <w:rFonts w:hint="eastAsia"/>
                <w:color w:val="12100F"/>
                <w:sz w:val="22"/>
                <w:lang w:val="en-US" w:eastAsia="zh-CN"/>
              </w:rPr>
            </w:pPr>
            <w:r>
              <w:rPr>
                <w:rFonts w:hint="eastAsia"/>
                <w:color w:val="12100F"/>
                <w:sz w:val="22"/>
                <w:lang w:val="en-US" w:eastAsia="zh-CN"/>
              </w:rPr>
              <w:t>5.3温控精度：控温精度（温度偏差）±0.4℃；</w:t>
            </w:r>
          </w:p>
          <w:p>
            <w:pPr>
              <w:widowControl w:val="0"/>
              <w:numPr>
                <w:ilvl w:val="0"/>
                <w:numId w:val="4"/>
              </w:numPr>
              <w:jc w:val="both"/>
              <w:rPr>
                <w:rFonts w:hint="eastAsia"/>
                <w:color w:val="12100F"/>
                <w:sz w:val="22"/>
                <w:lang w:val="en-US" w:eastAsia="zh-CN"/>
              </w:rPr>
            </w:pPr>
            <w:r>
              <w:rPr>
                <w:rFonts w:hint="eastAsia"/>
                <w:color w:val="12100F"/>
                <w:sz w:val="22"/>
                <w:lang w:val="en-US" w:eastAsia="zh-CN"/>
              </w:rPr>
              <w:t>洗衣模块：</w:t>
            </w:r>
          </w:p>
          <w:p>
            <w:pPr>
              <w:widowControl w:val="0"/>
              <w:numPr>
                <w:ilvl w:val="0"/>
                <w:numId w:val="0"/>
              </w:numPr>
              <w:jc w:val="both"/>
              <w:rPr>
                <w:rFonts w:hint="eastAsia"/>
                <w:color w:val="12100F"/>
                <w:sz w:val="22"/>
                <w:lang w:val="en-US" w:eastAsia="zh-CN"/>
              </w:rPr>
            </w:pPr>
            <w:r>
              <w:rPr>
                <w:rFonts w:hint="eastAsia"/>
                <w:color w:val="12100F"/>
                <w:sz w:val="22"/>
                <w:lang w:val="en-US" w:eastAsia="zh-CN"/>
              </w:rPr>
              <w:t>6.1</w:t>
            </w:r>
            <w:r>
              <w:rPr>
                <w:rFonts w:hint="eastAsia" w:ascii="宋体" w:hAnsi="宋体" w:eastAsia="宋体" w:cs="宋体"/>
                <w:i w:val="0"/>
                <w:color w:val="000000"/>
                <w:kern w:val="0"/>
                <w:sz w:val="22"/>
                <w:szCs w:val="22"/>
                <w:u w:val="none"/>
                <w:lang w:val="en-US" w:eastAsia="zh-CN" w:bidi="ar"/>
              </w:rPr>
              <w:t>※</w:t>
            </w:r>
            <w:r>
              <w:rPr>
                <w:rFonts w:hint="eastAsia"/>
                <w:color w:val="12100F"/>
                <w:sz w:val="22"/>
                <w:lang w:val="en-US" w:eastAsia="zh-CN"/>
              </w:rPr>
              <w:t>洗衣板：≥1台独立的洗板机，≥1个洗板头（每台洗板机1个独立的洗板头），洗板后清洗残留液量≤1ul/孔；</w:t>
            </w:r>
          </w:p>
          <w:p>
            <w:pPr>
              <w:widowControl w:val="0"/>
              <w:numPr>
                <w:ilvl w:val="0"/>
                <w:numId w:val="0"/>
              </w:numPr>
              <w:jc w:val="both"/>
              <w:rPr>
                <w:rFonts w:hint="eastAsia"/>
                <w:color w:val="12100F"/>
                <w:sz w:val="22"/>
                <w:lang w:val="en-US" w:eastAsia="zh-CN"/>
              </w:rPr>
            </w:pPr>
            <w:r>
              <w:rPr>
                <w:rFonts w:hint="eastAsia"/>
                <w:color w:val="12100F"/>
                <w:sz w:val="22"/>
                <w:lang w:val="en-US" w:eastAsia="zh-CN"/>
              </w:rPr>
              <w:t>6.2洗板方式：每台洗板机独立洗板，1台洗板机可同时使用2种不同类型的洗液并列洗板；</w:t>
            </w:r>
          </w:p>
          <w:p>
            <w:pPr>
              <w:widowControl w:val="0"/>
              <w:numPr>
                <w:ilvl w:val="0"/>
                <w:numId w:val="0"/>
              </w:numPr>
              <w:jc w:val="both"/>
              <w:rPr>
                <w:rFonts w:hint="eastAsia"/>
                <w:color w:val="12100F"/>
                <w:sz w:val="22"/>
                <w:lang w:val="en-US" w:eastAsia="zh-CN"/>
              </w:rPr>
            </w:pPr>
            <w:r>
              <w:rPr>
                <w:rFonts w:hint="eastAsia"/>
                <w:color w:val="12100F"/>
                <w:sz w:val="22"/>
                <w:lang w:val="en-US" w:eastAsia="zh-CN"/>
              </w:rPr>
              <w:t>6.3洗板模块独立性：可在脱离主机的情况下独立工作；</w:t>
            </w:r>
          </w:p>
          <w:p>
            <w:pPr>
              <w:widowControl w:val="0"/>
              <w:numPr>
                <w:ilvl w:val="0"/>
                <w:numId w:val="4"/>
              </w:numPr>
              <w:ind w:left="0" w:leftChars="0" w:firstLine="0" w:firstLineChars="0"/>
              <w:jc w:val="both"/>
              <w:rPr>
                <w:rFonts w:hint="eastAsia"/>
                <w:color w:val="12100F"/>
                <w:sz w:val="22"/>
                <w:lang w:val="en-US" w:eastAsia="zh-CN"/>
              </w:rPr>
            </w:pPr>
            <w:r>
              <w:rPr>
                <w:rFonts w:hint="eastAsia"/>
                <w:color w:val="12100F"/>
                <w:sz w:val="22"/>
                <w:lang w:val="en-US" w:eastAsia="zh-CN"/>
              </w:rPr>
              <w:t>酶标仪：</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7.1模块独立：有独立操作软件,可以脱离主机单独使用；</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7.2波长范围：340-750nm；</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7.3滤光片：配置405nm，450nm，492nm，630nm；</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7.4吸光度范围：0.000-4.000 OD；</w:t>
            </w:r>
          </w:p>
          <w:p>
            <w:pPr>
              <w:widowControl w:val="0"/>
              <w:numPr>
                <w:ilvl w:val="0"/>
                <w:numId w:val="4"/>
              </w:numPr>
              <w:ind w:left="0" w:leftChars="0" w:firstLine="0" w:firstLineChars="0"/>
              <w:jc w:val="both"/>
              <w:rPr>
                <w:rFonts w:hint="eastAsia"/>
                <w:color w:val="12100F"/>
                <w:sz w:val="22"/>
                <w:lang w:val="en-US" w:eastAsia="zh-CN"/>
              </w:rPr>
            </w:pPr>
            <w:r>
              <w:rPr>
                <w:rFonts w:hint="eastAsia"/>
                <w:color w:val="12100F"/>
                <w:sz w:val="22"/>
                <w:lang w:val="en-US" w:eastAsia="zh-CN"/>
              </w:rPr>
              <w:t>软件：</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8.1运行环境：全中文操作软件，能在Windows XP及 windows 7操作系统运行；</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8.2</w:t>
            </w:r>
            <w:r>
              <w:rPr>
                <w:rFonts w:hint="eastAsia" w:ascii="宋体" w:hAnsi="宋体" w:eastAsia="宋体" w:cs="宋体"/>
                <w:i w:val="0"/>
                <w:color w:val="000000"/>
                <w:kern w:val="0"/>
                <w:sz w:val="22"/>
                <w:szCs w:val="22"/>
                <w:u w:val="none"/>
                <w:lang w:val="en-US" w:eastAsia="zh-CN" w:bidi="ar"/>
              </w:rPr>
              <w:t>※</w:t>
            </w:r>
            <w:r>
              <w:rPr>
                <w:rFonts w:hint="eastAsia"/>
                <w:color w:val="12100F"/>
                <w:sz w:val="22"/>
                <w:lang w:val="en-US" w:eastAsia="zh-CN"/>
              </w:rPr>
              <w:t>系统连接：系统的软件能与我院Lis系统连接，实现双向通讯；</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 xml:space="preserve">8.3拼板功能：可在同一块微板上进行≥6项目的检测； </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8.4自定义项目功能：可对同一批上机检测的标本，定义每标本所检测的项目；</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8.5多孔复查功能：复查标本与正常标本同批次处理，自动将需复查的同一管标本分配到对应项目微板的多个孔位，无需将复查标本管移位、分管；</w:t>
            </w:r>
          </w:p>
          <w:p>
            <w:pPr>
              <w:widowControl w:val="0"/>
              <w:numPr>
                <w:ilvl w:val="0"/>
                <w:numId w:val="0"/>
              </w:numPr>
              <w:ind w:leftChars="0"/>
              <w:jc w:val="both"/>
              <w:rPr>
                <w:rFonts w:hint="eastAsia"/>
                <w:color w:val="12100F"/>
                <w:sz w:val="22"/>
                <w:lang w:val="en-US" w:eastAsia="zh-CN"/>
              </w:rPr>
            </w:pPr>
            <w:r>
              <w:rPr>
                <w:rFonts w:hint="eastAsia"/>
                <w:color w:val="12100F"/>
                <w:sz w:val="22"/>
                <w:lang w:val="en-US" w:eastAsia="zh-CN"/>
              </w:rPr>
              <w:t>8.6</w:t>
            </w:r>
            <w:r>
              <w:rPr>
                <w:rFonts w:hint="eastAsia" w:ascii="宋体" w:hAnsi="宋体" w:eastAsia="宋体" w:cs="宋体"/>
                <w:i w:val="0"/>
                <w:color w:val="000000"/>
                <w:kern w:val="0"/>
                <w:sz w:val="22"/>
                <w:szCs w:val="22"/>
                <w:u w:val="none"/>
                <w:lang w:val="en-US" w:eastAsia="zh-CN" w:bidi="ar"/>
              </w:rPr>
              <w:t>※</w:t>
            </w:r>
            <w:r>
              <w:rPr>
                <w:rFonts w:hint="eastAsia"/>
                <w:color w:val="12100F"/>
                <w:sz w:val="22"/>
                <w:lang w:val="en-US" w:eastAsia="zh-CN"/>
              </w:rPr>
              <w:t>微板插入功能：具备从微板实验中途的任意步骤开始，上机实验。无需新编实验方法，只需启用已有的完整实验程序，指定起始步骤上机，全自动完成后继实验步骤；</w:t>
            </w:r>
          </w:p>
          <w:p>
            <w:pPr>
              <w:widowControl w:val="0"/>
              <w:numPr>
                <w:ilvl w:val="0"/>
                <w:numId w:val="4"/>
              </w:numPr>
              <w:ind w:left="0" w:leftChars="0" w:firstLine="0" w:firstLineChars="0"/>
              <w:jc w:val="both"/>
              <w:rPr>
                <w:rFonts w:hint="eastAsia"/>
                <w:color w:val="12100F"/>
                <w:sz w:val="22"/>
                <w:lang w:val="en-US" w:eastAsia="zh-CN"/>
              </w:rPr>
            </w:pPr>
            <w:r>
              <w:rPr>
                <w:rFonts w:hint="eastAsia"/>
                <w:color w:val="12100F"/>
                <w:sz w:val="22"/>
                <w:lang w:val="en-US" w:eastAsia="zh-CN"/>
              </w:rPr>
              <w:t>安全报警：具备可全密闭的外观结构；具备声音、警示灯的双重报警系统功能；</w:t>
            </w:r>
          </w:p>
          <w:p>
            <w:pPr>
              <w:widowControl w:val="0"/>
              <w:numPr>
                <w:ilvl w:val="0"/>
                <w:numId w:val="4"/>
              </w:numPr>
              <w:ind w:left="0" w:leftChars="0" w:firstLine="0" w:firstLineChars="0"/>
              <w:jc w:val="both"/>
              <w:rPr>
                <w:rFonts w:hint="default"/>
                <w:color w:val="12100F"/>
                <w:sz w:val="22"/>
                <w:lang w:val="en-US" w:eastAsia="zh-CN"/>
              </w:rPr>
            </w:pPr>
            <w:r>
              <w:rPr>
                <w:rFonts w:hint="eastAsia"/>
                <w:color w:val="12100F"/>
                <w:sz w:val="22"/>
                <w:lang w:val="en-US" w:eastAsia="zh-CN"/>
              </w:rPr>
              <w:t>电脑：知名品牌；</w:t>
            </w:r>
          </w:p>
          <w:p>
            <w:pPr>
              <w:widowControl w:val="0"/>
              <w:numPr>
                <w:ilvl w:val="0"/>
                <w:numId w:val="4"/>
              </w:numPr>
              <w:ind w:left="0" w:leftChars="0" w:firstLine="0" w:firstLineChars="0"/>
              <w:jc w:val="both"/>
              <w:rPr>
                <w:rFonts w:hint="default"/>
                <w:color w:val="12100F"/>
                <w:sz w:val="22"/>
                <w:lang w:val="en-US" w:eastAsia="zh-CN"/>
              </w:rPr>
            </w:pPr>
            <w:r>
              <w:rPr>
                <w:rFonts w:hint="eastAsia"/>
                <w:color w:val="12100F"/>
                <w:sz w:val="22"/>
                <w:lang w:val="en-US" w:eastAsia="zh-CN"/>
              </w:rPr>
              <w:t>工作环境：温度15℃-32℃；湿度30%-80%。</w:t>
            </w:r>
          </w:p>
          <w:p>
            <w:pPr>
              <w:widowControl w:val="0"/>
              <w:numPr>
                <w:ilvl w:val="0"/>
                <w:numId w:val="0"/>
              </w:numPr>
              <w:ind w:leftChars="0"/>
              <w:jc w:val="both"/>
              <w:rPr>
                <w:rFonts w:hint="eastAsia" w:ascii="Arial" w:hAnsi="Arial" w:cs="Arial"/>
                <w:sz w:val="22"/>
                <w:szCs w:val="22"/>
                <w:lang w:val="en-US" w:eastAsia="zh-CN"/>
              </w:rPr>
            </w:pPr>
            <w:r>
              <w:rPr>
                <w:rFonts w:hint="eastAsia" w:ascii="宋体" w:hAnsi="宋体" w:cs="宋体"/>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61" w:type="dxa"/>
            <w:gridSpan w:val="4"/>
            <w:noWrap w:val="0"/>
            <w:vAlign w:val="top"/>
          </w:tcPr>
          <w:p>
            <w:pPr>
              <w:rPr>
                <w:rFonts w:hint="eastAsia" w:ascii="黑体" w:hAnsi="宋体" w:eastAsia="黑体"/>
                <w:szCs w:val="21"/>
              </w:rPr>
            </w:pPr>
            <w:r>
              <w:rPr>
                <w:rFonts w:hint="eastAsia" w:ascii="宋体" w:hAnsi="宋体" w:eastAsia="宋体" w:cs="宋体"/>
                <w:b/>
                <w:i w:val="0"/>
                <w:color w:val="000000"/>
                <w:kern w:val="0"/>
                <w:sz w:val="22"/>
                <w:szCs w:val="22"/>
                <w:u w:val="none"/>
                <w:lang w:val="en-US" w:eastAsia="zh-CN" w:bidi="ar"/>
              </w:rPr>
              <w:t>培训、售后要求：</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质保≥3年；现场安装</w:t>
            </w:r>
            <w:r>
              <w:rPr>
                <w:rFonts w:hint="eastAsia" w:ascii="宋体" w:hAnsi="宋体" w:cs="宋体"/>
                <w:i w:val="0"/>
                <w:color w:val="000000"/>
                <w:kern w:val="0"/>
                <w:sz w:val="22"/>
                <w:szCs w:val="22"/>
                <w:u w:val="none"/>
                <w:lang w:val="en-US" w:eastAsia="zh-CN" w:bidi="ar"/>
              </w:rPr>
              <w:t>，按科室需求进行</w:t>
            </w:r>
            <w:r>
              <w:rPr>
                <w:rFonts w:hint="eastAsia" w:ascii="宋体" w:hAnsi="宋体" w:eastAsia="宋体" w:cs="宋体"/>
                <w:i w:val="0"/>
                <w:color w:val="000000"/>
                <w:kern w:val="0"/>
                <w:sz w:val="22"/>
                <w:szCs w:val="22"/>
                <w:u w:val="none"/>
                <w:lang w:val="en-US" w:eastAsia="zh-CN" w:bidi="ar"/>
              </w:rPr>
              <w:t>培训；如遇故障</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小时响应，24小时到达现场维修</w:t>
            </w:r>
            <w:r>
              <w:rPr>
                <w:rFonts w:hint="eastAsia" w:ascii="宋体" w:hAnsi="宋体" w:cs="宋体"/>
                <w:i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r>
    </w:tbl>
    <w:p>
      <w:pPr>
        <w:spacing w:line="560" w:lineRule="exact"/>
      </w:pPr>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500" w:lineRule="exact"/>
        <w:rPr>
          <w:rFonts w:hint="eastAsia" w:ascii="宋体" w:hAnsi="宋体" w:cs="宋体"/>
          <w:bCs/>
          <w:sz w:val="28"/>
          <w:szCs w:val="28"/>
        </w:rPr>
      </w:pPr>
      <w:r>
        <w:rPr>
          <w:rFonts w:hint="eastAsia" w:ascii="宋体" w:hAnsi="宋体" w:cs="宋体"/>
          <w:sz w:val="28"/>
          <w:szCs w:val="28"/>
        </w:rPr>
        <w:t>附件一</w:t>
      </w:r>
      <w:r>
        <w:rPr>
          <w:rFonts w:hint="eastAsia" w:ascii="宋体" w:hAnsi="宋体" w:cs="宋体"/>
          <w:bCs/>
          <w:sz w:val="28"/>
          <w:szCs w:val="28"/>
        </w:rPr>
        <w:t xml:space="preserve">：                </w:t>
      </w:r>
    </w:p>
    <w:p>
      <w:pPr>
        <w:spacing w:line="500" w:lineRule="exact"/>
        <w:jc w:val="center"/>
        <w:rPr>
          <w:rFonts w:hint="eastAsia" w:ascii="宋体" w:hAnsi="宋体" w:cs="宋体"/>
          <w:b/>
          <w:bCs/>
          <w:sz w:val="32"/>
          <w:szCs w:val="32"/>
        </w:rPr>
      </w:pPr>
      <w:r>
        <w:rPr>
          <w:rFonts w:hint="eastAsia" w:ascii="宋体" w:hAnsi="宋体" w:cs="宋体"/>
          <w:b/>
          <w:bCs/>
          <w:sz w:val="32"/>
          <w:szCs w:val="32"/>
        </w:rPr>
        <w:t>磋  商 响 应 书</w:t>
      </w:r>
    </w:p>
    <w:p>
      <w:pPr>
        <w:pStyle w:val="6"/>
        <w:tabs>
          <w:tab w:val="left" w:pos="3885"/>
        </w:tabs>
        <w:spacing w:line="500" w:lineRule="exact"/>
        <w:jc w:val="center"/>
        <w:rPr>
          <w:rFonts w:hint="eastAsia" w:hAnsi="宋体" w:cs="宋体"/>
          <w:bCs/>
          <w:sz w:val="28"/>
          <w:szCs w:val="28"/>
        </w:rPr>
      </w:pPr>
    </w:p>
    <w:p>
      <w:pPr>
        <w:autoSpaceDE w:val="0"/>
        <w:autoSpaceDN w:val="0"/>
        <w:adjustRightInd w:val="0"/>
        <w:jc w:val="left"/>
        <w:rPr>
          <w:rFonts w:hint="eastAsia" w:ascii="宋体" w:hAnsi="宋体" w:cs="宋体"/>
          <w:kern w:val="0"/>
          <w:szCs w:val="24"/>
        </w:rPr>
      </w:pPr>
      <w:r>
        <w:rPr>
          <w:rFonts w:hint="eastAsia" w:ascii="宋体" w:hAnsi="宋体" w:cs="宋体"/>
          <w:bCs/>
          <w:szCs w:val="24"/>
          <w:u w:val="single"/>
        </w:rPr>
        <w:t>（采购人）：</w:t>
      </w:r>
    </w:p>
    <w:p>
      <w:pPr>
        <w:autoSpaceDE w:val="0"/>
        <w:autoSpaceDN w:val="0"/>
        <w:adjustRightInd w:val="0"/>
        <w:ind w:left="2" w:firstLine="462" w:firstLineChars="220"/>
        <w:rPr>
          <w:rFonts w:hint="eastAsia" w:ascii="宋体" w:hAnsi="宋体" w:cs="宋体"/>
          <w:kern w:val="0"/>
          <w:szCs w:val="24"/>
        </w:rPr>
      </w:pPr>
      <w:r>
        <w:rPr>
          <w:rFonts w:hint="eastAsia" w:ascii="宋体" w:hAnsi="宋体" w:cs="宋体"/>
          <w:kern w:val="0"/>
          <w:szCs w:val="24"/>
        </w:rPr>
        <w:t>依据贵方（项目名称/采购编号）项目采购货物及服务的磋商邀请，我方代表（姓名、职务）经正式授权并代表供应商（供应商的名称、地址）提交下述文件正本一份，副本</w:t>
      </w:r>
      <w:r>
        <w:rPr>
          <w:rFonts w:hint="eastAsia" w:ascii="宋体" w:hAnsi="宋体" w:cs="宋体"/>
          <w:kern w:val="0"/>
          <w:szCs w:val="24"/>
          <w:u w:val="single"/>
        </w:rPr>
        <w:t xml:space="preserve"> </w:t>
      </w:r>
      <w:r>
        <w:rPr>
          <w:rFonts w:hint="eastAsia" w:ascii="宋体" w:hAnsi="宋体" w:cs="宋体"/>
          <w:kern w:val="0"/>
          <w:szCs w:val="24"/>
          <w:u w:val="single"/>
          <w:lang w:eastAsia="zh-CN"/>
        </w:rPr>
        <w:t>贰</w:t>
      </w:r>
      <w:r>
        <w:rPr>
          <w:rFonts w:hint="eastAsia" w:ascii="宋体" w:hAnsi="宋体" w:cs="宋体"/>
          <w:kern w:val="0"/>
          <w:szCs w:val="24"/>
          <w:u w:val="single"/>
        </w:rPr>
        <w:t xml:space="preserve"> </w:t>
      </w:r>
      <w:r>
        <w:rPr>
          <w:rFonts w:hint="eastAsia" w:ascii="宋体" w:hAnsi="宋体" w:cs="宋体"/>
          <w:kern w:val="0"/>
          <w:szCs w:val="24"/>
        </w:rPr>
        <w:t>份。</w:t>
      </w:r>
    </w:p>
    <w:p>
      <w:pPr>
        <w:numPr>
          <w:ilvl w:val="1"/>
          <w:numId w:val="5"/>
        </w:numPr>
        <w:tabs>
          <w:tab w:val="left" w:pos="840"/>
          <w:tab w:val="clear" w:pos="360"/>
        </w:tabs>
        <w:autoSpaceDE w:val="0"/>
        <w:autoSpaceDN w:val="0"/>
        <w:adjustRightInd w:val="0"/>
        <w:ind w:left="840" w:hanging="420"/>
        <w:rPr>
          <w:rFonts w:hint="eastAsia" w:ascii="宋体" w:hAnsi="宋体" w:cs="宋体"/>
          <w:kern w:val="0"/>
          <w:szCs w:val="24"/>
        </w:rPr>
      </w:pPr>
      <w:r>
        <w:rPr>
          <w:rFonts w:hint="eastAsia" w:ascii="宋体" w:hAnsi="宋体" w:cs="宋体"/>
          <w:kern w:val="0"/>
          <w:szCs w:val="24"/>
        </w:rPr>
        <w:t>竞争性磋商响应文件；</w:t>
      </w:r>
    </w:p>
    <w:p>
      <w:pPr>
        <w:numPr>
          <w:ilvl w:val="1"/>
          <w:numId w:val="5"/>
        </w:numPr>
        <w:tabs>
          <w:tab w:val="left" w:pos="840"/>
          <w:tab w:val="clear" w:pos="360"/>
        </w:tabs>
        <w:autoSpaceDE w:val="0"/>
        <w:autoSpaceDN w:val="0"/>
        <w:adjustRightInd w:val="0"/>
        <w:ind w:left="840" w:hanging="420"/>
        <w:rPr>
          <w:rFonts w:hint="eastAsia" w:ascii="宋体" w:hAnsi="宋体" w:cs="宋体"/>
          <w:kern w:val="0"/>
          <w:szCs w:val="24"/>
        </w:rPr>
      </w:pPr>
      <w:r>
        <w:rPr>
          <w:rFonts w:hint="eastAsia" w:ascii="宋体" w:hAnsi="宋体" w:cs="宋体"/>
          <w:kern w:val="0"/>
          <w:szCs w:val="24"/>
        </w:rPr>
        <w:t>资格证明文件。</w:t>
      </w:r>
    </w:p>
    <w:p>
      <w:pPr>
        <w:autoSpaceDE w:val="0"/>
        <w:autoSpaceDN w:val="0"/>
        <w:adjustRightInd w:val="0"/>
        <w:ind w:firstLine="422" w:firstLineChars="200"/>
        <w:rPr>
          <w:rFonts w:hint="eastAsia" w:ascii="宋体" w:hAnsi="宋体" w:cs="宋体"/>
          <w:b/>
          <w:bCs/>
          <w:kern w:val="0"/>
          <w:szCs w:val="24"/>
        </w:rPr>
      </w:pPr>
      <w:r>
        <w:rPr>
          <w:rFonts w:hint="eastAsia" w:ascii="宋体" w:hAnsi="宋体" w:cs="宋体"/>
          <w:b/>
          <w:bCs/>
          <w:kern w:val="0"/>
          <w:szCs w:val="24"/>
        </w:rPr>
        <w:t>并进行如下承诺声明：</w:t>
      </w:r>
    </w:p>
    <w:p>
      <w:pPr>
        <w:numPr>
          <w:ilvl w:val="0"/>
          <w:numId w:val="6"/>
        </w:numPr>
        <w:tabs>
          <w:tab w:val="left" w:pos="840"/>
        </w:tabs>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lang w:val="zh-CN"/>
        </w:rPr>
        <w:t>我公司在参加本次政府采购活动前</w:t>
      </w:r>
      <w:r>
        <w:rPr>
          <w:rFonts w:hint="eastAsia" w:ascii="宋体" w:hAnsi="宋体" w:cs="宋体"/>
          <w:kern w:val="0"/>
          <w:szCs w:val="24"/>
        </w:rPr>
        <w:t>3年内在经营活动中没有重大违法记录；</w:t>
      </w:r>
    </w:p>
    <w:p>
      <w:pPr>
        <w:numPr>
          <w:ilvl w:val="0"/>
          <w:numId w:val="6"/>
        </w:numPr>
        <w:tabs>
          <w:tab w:val="left" w:pos="840"/>
        </w:tabs>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我公司在本响应文件中所提供的全部资格证明文件均真实有效，我方承诺对其真实性负责并承担相应后果；</w:t>
      </w:r>
    </w:p>
    <w:p>
      <w:pPr>
        <w:numPr>
          <w:ilvl w:val="0"/>
          <w:numId w:val="6"/>
        </w:numPr>
        <w:tabs>
          <w:tab w:val="left" w:pos="840"/>
        </w:tabs>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我公司在本响应文件中所响应的内容均将成为签订合同的依据，并承诺按响应内容提供相应服务；</w:t>
      </w:r>
    </w:p>
    <w:p>
      <w:pPr>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其它承诺：如有的话，可自行填写；</w:t>
      </w:r>
    </w:p>
    <w:p>
      <w:pPr>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在次，我方宣布同意如下：</w:t>
      </w:r>
    </w:p>
    <w:p>
      <w:pPr>
        <w:tabs>
          <w:tab w:val="left" w:pos="420"/>
          <w:tab w:val="left" w:pos="840"/>
        </w:tabs>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4.所附《磋商报价一览表》中规定的应提交和交付的货物报价总价为</w:t>
      </w:r>
      <w:r>
        <w:rPr>
          <w:rFonts w:hint="eastAsia" w:ascii="宋体" w:hAnsi="宋体" w:cs="宋体"/>
          <w:kern w:val="0"/>
          <w:szCs w:val="24"/>
          <w:u w:val="single"/>
        </w:rPr>
        <w:t>（注明币种，并用文字和数字表示的报价总价）</w:t>
      </w:r>
      <w:r>
        <w:rPr>
          <w:rFonts w:hint="eastAsia" w:ascii="宋体" w:hAnsi="宋体" w:cs="宋体"/>
          <w:kern w:val="0"/>
          <w:szCs w:val="24"/>
        </w:rPr>
        <w:t>。</w:t>
      </w:r>
    </w:p>
    <w:p>
      <w:pPr>
        <w:tabs>
          <w:tab w:val="left" w:pos="420"/>
          <w:tab w:val="left" w:pos="840"/>
        </w:tabs>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5.将按竞争性磋商采购文件的约定履行合同责任和义务。</w:t>
      </w:r>
    </w:p>
    <w:p>
      <w:pPr>
        <w:tabs>
          <w:tab w:val="left" w:pos="420"/>
          <w:tab w:val="left" w:pos="840"/>
        </w:tabs>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6.已详细审查全部竞争性磋商采购文件，包括</w:t>
      </w:r>
      <w:r>
        <w:rPr>
          <w:rFonts w:hint="eastAsia" w:ascii="宋体" w:hAnsi="宋体" w:cs="宋体"/>
          <w:kern w:val="0"/>
          <w:szCs w:val="24"/>
          <w:u w:val="single"/>
        </w:rPr>
        <w:t>（补充文件等）</w:t>
      </w:r>
      <w:r>
        <w:rPr>
          <w:rFonts w:hint="eastAsia" w:ascii="宋体" w:hAnsi="宋体" w:cs="宋体"/>
          <w:kern w:val="0"/>
          <w:szCs w:val="24"/>
        </w:rPr>
        <w:t>，对此无异议。</w:t>
      </w:r>
    </w:p>
    <w:p>
      <w:pPr>
        <w:tabs>
          <w:tab w:val="left" w:pos="420"/>
          <w:tab w:val="left" w:pos="840"/>
        </w:tabs>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7.本竞争性磋商响应文件的有效期自开标之日起共90个日历日。</w:t>
      </w:r>
    </w:p>
    <w:p>
      <w:pPr>
        <w:tabs>
          <w:tab w:val="left" w:pos="420"/>
          <w:tab w:val="left" w:pos="840"/>
        </w:tabs>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8.同意提供按照贵方可能要求的与其报价有关的一切数据或资料。</w:t>
      </w:r>
    </w:p>
    <w:p>
      <w:pPr>
        <w:tabs>
          <w:tab w:val="left" w:pos="420"/>
          <w:tab w:val="left" w:pos="840"/>
        </w:tabs>
        <w:autoSpaceDE w:val="0"/>
        <w:autoSpaceDN w:val="0"/>
        <w:adjustRightInd w:val="0"/>
        <w:ind w:firstLine="420" w:firstLineChars="200"/>
        <w:rPr>
          <w:rFonts w:hint="eastAsia" w:ascii="宋体" w:hAnsi="宋体" w:cs="宋体"/>
          <w:kern w:val="0"/>
          <w:szCs w:val="24"/>
        </w:rPr>
      </w:pPr>
      <w:r>
        <w:rPr>
          <w:rFonts w:hint="eastAsia" w:ascii="宋体" w:hAnsi="宋体" w:cs="宋体"/>
          <w:kern w:val="0"/>
          <w:szCs w:val="24"/>
        </w:rPr>
        <w:t>9.与本报价有关的一切正式往来信函请寄：</w:t>
      </w:r>
      <w:r>
        <w:rPr>
          <w:rFonts w:hint="eastAsia" w:ascii="宋体" w:hAnsi="宋体" w:cs="宋体"/>
          <w:kern w:val="0"/>
          <w:szCs w:val="24"/>
          <w:u w:val="single"/>
        </w:rPr>
        <w:t xml:space="preserve">                  </w:t>
      </w:r>
      <w:r>
        <w:rPr>
          <w:rFonts w:hint="eastAsia" w:ascii="宋体" w:hAnsi="宋体" w:cs="宋体"/>
          <w:kern w:val="0"/>
          <w:szCs w:val="24"/>
        </w:rPr>
        <w:t>。</w:t>
      </w:r>
    </w:p>
    <w:p>
      <w:pPr>
        <w:autoSpaceDE w:val="0"/>
        <w:autoSpaceDN w:val="0"/>
        <w:adjustRightInd w:val="0"/>
        <w:ind w:firstLine="420" w:firstLineChars="200"/>
        <w:jc w:val="left"/>
        <w:rPr>
          <w:rFonts w:hint="eastAsia" w:ascii="宋体" w:hAnsi="宋体" w:cs="宋体"/>
          <w:kern w:val="0"/>
          <w:szCs w:val="24"/>
        </w:rPr>
      </w:pPr>
    </w:p>
    <w:p>
      <w:pPr>
        <w:autoSpaceDE w:val="0"/>
        <w:autoSpaceDN w:val="0"/>
        <w:adjustRightInd w:val="0"/>
        <w:ind w:firstLine="420" w:firstLineChars="200"/>
        <w:jc w:val="left"/>
        <w:rPr>
          <w:rFonts w:hint="eastAsia" w:ascii="宋体" w:hAnsi="宋体" w:cs="宋体"/>
          <w:kern w:val="0"/>
          <w:szCs w:val="24"/>
        </w:rPr>
      </w:pPr>
      <w:r>
        <w:rPr>
          <w:rFonts w:hint="eastAsia" w:ascii="宋体" w:hAnsi="宋体" w:cs="宋体"/>
          <w:kern w:val="0"/>
          <w:szCs w:val="24"/>
        </w:rPr>
        <w:t>谈 判 供 应 商：</w:t>
      </w:r>
    </w:p>
    <w:p>
      <w:pPr>
        <w:autoSpaceDE w:val="0"/>
        <w:autoSpaceDN w:val="0"/>
        <w:adjustRightInd w:val="0"/>
        <w:ind w:firstLine="420" w:firstLineChars="200"/>
        <w:jc w:val="left"/>
        <w:rPr>
          <w:rFonts w:hint="eastAsia" w:ascii="宋体" w:hAnsi="宋体" w:cs="宋体"/>
          <w:kern w:val="0"/>
          <w:szCs w:val="24"/>
        </w:rPr>
      </w:pPr>
      <w:r>
        <w:rPr>
          <w:rFonts w:hint="eastAsia" w:ascii="宋体" w:hAnsi="宋体" w:cs="宋体"/>
          <w:kern w:val="0"/>
          <w:szCs w:val="24"/>
        </w:rPr>
        <w:t>通  讯  地  址：</w:t>
      </w:r>
    </w:p>
    <w:p>
      <w:pPr>
        <w:autoSpaceDE w:val="0"/>
        <w:autoSpaceDN w:val="0"/>
        <w:adjustRightInd w:val="0"/>
        <w:ind w:firstLine="420" w:firstLineChars="200"/>
        <w:jc w:val="left"/>
        <w:rPr>
          <w:rFonts w:hint="eastAsia" w:ascii="宋体" w:hAnsi="宋体" w:cs="宋体"/>
          <w:kern w:val="0"/>
          <w:szCs w:val="24"/>
        </w:rPr>
      </w:pPr>
      <w:r>
        <w:rPr>
          <w:rFonts w:hint="eastAsia" w:ascii="宋体" w:hAnsi="宋体" w:cs="宋体"/>
          <w:kern w:val="0"/>
          <w:szCs w:val="24"/>
        </w:rPr>
        <w:t>传        　真：</w:t>
      </w:r>
    </w:p>
    <w:p>
      <w:pPr>
        <w:autoSpaceDE w:val="0"/>
        <w:autoSpaceDN w:val="0"/>
        <w:adjustRightInd w:val="0"/>
        <w:ind w:firstLine="420" w:firstLineChars="200"/>
        <w:jc w:val="left"/>
        <w:rPr>
          <w:rFonts w:hint="eastAsia" w:ascii="宋体" w:hAnsi="宋体" w:cs="宋体"/>
          <w:kern w:val="0"/>
          <w:szCs w:val="24"/>
        </w:rPr>
      </w:pPr>
      <w:r>
        <w:rPr>
          <w:rFonts w:hint="eastAsia" w:ascii="宋体" w:hAnsi="宋体" w:cs="宋体"/>
          <w:kern w:val="0"/>
          <w:szCs w:val="24"/>
        </w:rPr>
        <w:t>电          话：</w:t>
      </w:r>
    </w:p>
    <w:p>
      <w:pPr>
        <w:autoSpaceDE w:val="0"/>
        <w:autoSpaceDN w:val="0"/>
        <w:adjustRightInd w:val="0"/>
        <w:ind w:firstLine="420" w:firstLineChars="200"/>
        <w:jc w:val="left"/>
        <w:rPr>
          <w:rFonts w:hint="eastAsia" w:ascii="宋体" w:hAnsi="宋体" w:cs="宋体"/>
          <w:kern w:val="0"/>
          <w:szCs w:val="24"/>
        </w:rPr>
      </w:pPr>
      <w:r>
        <w:rPr>
          <w:rFonts w:hint="eastAsia" w:ascii="宋体" w:hAnsi="宋体" w:cs="宋体"/>
          <w:kern w:val="0"/>
          <w:szCs w:val="24"/>
        </w:rPr>
        <w:t>电  子  函  件：</w:t>
      </w:r>
    </w:p>
    <w:p>
      <w:pPr>
        <w:autoSpaceDE w:val="0"/>
        <w:autoSpaceDN w:val="0"/>
        <w:adjustRightInd w:val="0"/>
        <w:ind w:firstLine="420" w:firstLineChars="200"/>
        <w:jc w:val="left"/>
        <w:rPr>
          <w:rFonts w:hint="eastAsia" w:ascii="宋体" w:hAnsi="宋体" w:cs="宋体"/>
          <w:kern w:val="0"/>
          <w:szCs w:val="24"/>
        </w:rPr>
      </w:pPr>
      <w:r>
        <w:rPr>
          <w:rFonts w:hint="eastAsia" w:ascii="宋体" w:hAnsi="宋体" w:cs="宋体"/>
          <w:kern w:val="0"/>
          <w:szCs w:val="24"/>
        </w:rPr>
        <w:t>授权 代表 签字：</w:t>
      </w:r>
    </w:p>
    <w:p>
      <w:pPr>
        <w:autoSpaceDE w:val="0"/>
        <w:autoSpaceDN w:val="0"/>
        <w:adjustRightInd w:val="0"/>
        <w:ind w:firstLine="420" w:firstLineChars="200"/>
        <w:jc w:val="left"/>
        <w:rPr>
          <w:rFonts w:hint="eastAsia" w:ascii="宋体" w:hAnsi="宋体" w:cs="宋体"/>
          <w:kern w:val="0"/>
          <w:szCs w:val="24"/>
        </w:rPr>
      </w:pPr>
      <w:r>
        <w:rPr>
          <w:rFonts w:hint="eastAsia" w:ascii="宋体" w:hAnsi="宋体" w:cs="宋体"/>
          <w:kern w:val="0"/>
          <w:szCs w:val="24"/>
        </w:rPr>
        <w:t>磋商供应商（公章）：</w:t>
      </w:r>
    </w:p>
    <w:p>
      <w:pPr>
        <w:autoSpaceDE w:val="0"/>
        <w:autoSpaceDN w:val="0"/>
        <w:adjustRightInd w:val="0"/>
        <w:ind w:firstLine="420" w:firstLineChars="200"/>
        <w:jc w:val="left"/>
        <w:rPr>
          <w:rFonts w:hint="eastAsia" w:ascii="宋体" w:hAnsi="宋体" w:cs="宋体"/>
          <w:kern w:val="0"/>
          <w:szCs w:val="24"/>
        </w:rPr>
      </w:pPr>
      <w:r>
        <w:rPr>
          <w:rFonts w:hint="eastAsia" w:ascii="宋体" w:hAnsi="宋体" w:cs="宋体"/>
          <w:kern w:val="0"/>
          <w:szCs w:val="24"/>
        </w:rPr>
        <w:t>日         期：</w:t>
      </w:r>
    </w:p>
    <w:p>
      <w:pPr>
        <w:tabs>
          <w:tab w:val="left" w:pos="3969"/>
        </w:tabs>
        <w:spacing w:line="500" w:lineRule="exact"/>
        <w:rPr>
          <w:rFonts w:hint="eastAsia" w:ascii="宋体" w:hAnsi="宋体" w:cs="宋体"/>
          <w:szCs w:val="24"/>
        </w:rPr>
      </w:pPr>
    </w:p>
    <w:p>
      <w:pPr>
        <w:spacing w:line="500" w:lineRule="exact"/>
        <w:jc w:val="left"/>
        <w:rPr>
          <w:rFonts w:hint="eastAsia" w:ascii="宋体" w:hAnsi="宋体" w:cs="宋体"/>
          <w:bCs/>
        </w:rPr>
      </w:pPr>
      <w:r>
        <w:rPr>
          <w:rFonts w:hint="eastAsia" w:ascii="宋体" w:hAnsi="宋体" w:cs="宋体"/>
          <w:b/>
          <w:bCs/>
        </w:rPr>
        <w:br w:type="page"/>
      </w:r>
      <w:r>
        <w:rPr>
          <w:rFonts w:hint="eastAsia" w:ascii="宋体" w:hAnsi="宋体" w:cs="宋体"/>
          <w:sz w:val="28"/>
          <w:szCs w:val="28"/>
        </w:rPr>
        <w:t xml:space="preserve">  附件二</w:t>
      </w:r>
      <w:r>
        <w:rPr>
          <w:rFonts w:hint="eastAsia" w:ascii="宋体" w:hAnsi="宋体" w:cs="宋体"/>
          <w:bCs/>
        </w:rPr>
        <w:t xml:space="preserve">：                                                            </w:t>
      </w:r>
    </w:p>
    <w:p>
      <w:pPr>
        <w:spacing w:line="500" w:lineRule="exact"/>
        <w:jc w:val="center"/>
        <w:rPr>
          <w:rFonts w:hint="eastAsia" w:ascii="宋体" w:hAnsi="宋体" w:cs="宋体"/>
          <w:b/>
          <w:sz w:val="32"/>
          <w:szCs w:val="32"/>
        </w:rPr>
      </w:pPr>
      <w:r>
        <w:rPr>
          <w:rFonts w:hint="eastAsia" w:ascii="宋体" w:hAnsi="宋体" w:cs="宋体"/>
          <w:b/>
          <w:sz w:val="32"/>
          <w:szCs w:val="32"/>
        </w:rPr>
        <w:t>磋商报价表（首次报价）</w:t>
      </w:r>
    </w:p>
    <w:p>
      <w:pPr>
        <w:adjustRightInd w:val="0"/>
        <w:snapToGrid w:val="0"/>
        <w:spacing w:line="500" w:lineRule="exact"/>
        <w:jc w:val="both"/>
        <w:rPr>
          <w:rFonts w:hint="eastAsia" w:ascii="宋体" w:hAnsi="宋体" w:cs="宋体"/>
          <w:b/>
          <w:bCs/>
        </w:rPr>
      </w:pPr>
      <w:r>
        <w:rPr>
          <w:rFonts w:hint="eastAsia" w:ascii="宋体" w:hAnsi="宋体" w:cs="宋体"/>
          <w:b/>
          <w:bCs/>
        </w:rPr>
        <w:t> </w:t>
      </w:r>
    </w:p>
    <w:p>
      <w:pPr>
        <w:pStyle w:val="10"/>
        <w:spacing w:before="0" w:beforeAutospacing="0" w:after="0" w:afterAutospacing="0" w:line="360" w:lineRule="auto"/>
        <w:ind w:left="2"/>
        <w:rPr>
          <w:rFonts w:hint="eastAsia" w:cs="宋体"/>
          <w:szCs w:val="24"/>
        </w:rPr>
      </w:pPr>
      <w:r>
        <w:rPr>
          <w:rFonts w:hint="eastAsia" w:cs="宋体"/>
          <w:szCs w:val="24"/>
        </w:rPr>
        <w:t>采购项目名称：</w:t>
      </w:r>
      <w:r>
        <w:rPr>
          <w:rFonts w:hint="eastAsia" w:cs="宋体"/>
          <w:szCs w:val="24"/>
          <w:u w:val="single"/>
        </w:rPr>
        <w:t xml:space="preserve">              </w:t>
      </w:r>
      <w:r>
        <w:rPr>
          <w:rFonts w:hint="eastAsia" w:cs="宋体"/>
          <w:szCs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投标企业</w:t>
            </w:r>
          </w:p>
        </w:tc>
        <w:tc>
          <w:tcPr>
            <w:tcW w:w="63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投标产品名称</w:t>
            </w:r>
          </w:p>
        </w:tc>
        <w:tc>
          <w:tcPr>
            <w:tcW w:w="63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投标产品数量（台/套）</w:t>
            </w:r>
          </w:p>
        </w:tc>
        <w:tc>
          <w:tcPr>
            <w:tcW w:w="63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生产企业及产地</w:t>
            </w:r>
          </w:p>
        </w:tc>
        <w:tc>
          <w:tcPr>
            <w:tcW w:w="63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规格型号</w:t>
            </w:r>
          </w:p>
        </w:tc>
        <w:tc>
          <w:tcPr>
            <w:tcW w:w="63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投标总价（元）</w:t>
            </w:r>
          </w:p>
        </w:tc>
        <w:tc>
          <w:tcPr>
            <w:tcW w:w="638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szCs w:val="21"/>
              </w:rPr>
            </w:pPr>
            <w:r>
              <w:rPr>
                <w:rFonts w:hint="eastAsia" w:ascii="宋体" w:hAnsi="宋体" w:cs="宋体"/>
                <w:szCs w:val="21"/>
                <w:lang w:bidi="ar"/>
              </w:rPr>
              <w:t>人民币（大写）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交货期</w:t>
            </w:r>
          </w:p>
        </w:tc>
        <w:tc>
          <w:tcPr>
            <w:tcW w:w="63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交货地点</w:t>
            </w:r>
          </w:p>
        </w:tc>
        <w:tc>
          <w:tcPr>
            <w:tcW w:w="6382" w:type="dxa"/>
            <w:tcBorders>
              <w:top w:val="single" w:color="auto" w:sz="4" w:space="0"/>
              <w:left w:val="nil"/>
              <w:bottom w:val="single" w:color="auto" w:sz="4" w:space="0"/>
              <w:right w:val="single" w:color="auto" w:sz="4" w:space="0"/>
            </w:tcBorders>
            <w:noWrap w:val="0"/>
            <w:vAlign w:val="center"/>
          </w:tcPr>
          <w:p>
            <w:pPr>
              <w:spacing w:before="120" w:after="120" w:line="360" w:lineRule="auto"/>
              <w:ind w:firstLine="210" w:firstLineChars="100"/>
              <w:rPr>
                <w:rFonts w:hint="eastAsia" w:ascii="宋体" w:hAnsi="宋体" w:cs="宋体"/>
                <w:szCs w:val="21"/>
                <w:highlight w:val="yellow"/>
              </w:rPr>
            </w:pPr>
            <w:r>
              <w:rPr>
                <w:rFonts w:hint="eastAsia" w:ascii="宋体" w:hAnsi="宋体" w:cs="宋体"/>
                <w:szCs w:val="21"/>
                <w:lang w:bidi="ar"/>
              </w:rPr>
              <w:t>鄂东医疗集团市妇幼保健院指定地点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质保期</w:t>
            </w:r>
          </w:p>
        </w:tc>
        <w:tc>
          <w:tcPr>
            <w:tcW w:w="638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付款方式</w:t>
            </w:r>
          </w:p>
        </w:tc>
        <w:tc>
          <w:tcPr>
            <w:tcW w:w="6382" w:type="dxa"/>
            <w:tcBorders>
              <w:top w:val="single" w:color="auto" w:sz="4" w:space="0"/>
              <w:left w:val="nil"/>
              <w:bottom w:val="single" w:color="auto" w:sz="4" w:space="0"/>
              <w:right w:val="single" w:color="auto" w:sz="4" w:space="0"/>
            </w:tcBorders>
            <w:noWrap w:val="0"/>
            <w:vAlign w:val="center"/>
          </w:tcPr>
          <w:p>
            <w:pPr>
              <w:spacing w:after="120" w:line="360" w:lineRule="auto"/>
              <w:ind w:firstLine="210" w:firstLineChars="100"/>
              <w:rPr>
                <w:rFonts w:hint="eastAsia" w:ascii="宋体" w:hAnsi="宋体" w:cs="宋体"/>
                <w:szCs w:val="21"/>
                <w:highlight w:val="yellow"/>
              </w:rPr>
            </w:pPr>
            <w:r>
              <w:rPr>
                <w:rFonts w:hint="eastAsia" w:ascii="宋体" w:hAnsi="宋体" w:cs="宋体"/>
                <w:szCs w:val="21"/>
                <w:lang w:bidi="ar"/>
              </w:rPr>
              <w:t>待中标方与院方签订供货合同时具体协商（按院方要求执行）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备注</w:t>
            </w:r>
          </w:p>
        </w:tc>
        <w:tc>
          <w:tcPr>
            <w:tcW w:w="6382" w:type="dxa"/>
            <w:tcBorders>
              <w:top w:val="single" w:color="auto" w:sz="4" w:space="0"/>
              <w:left w:val="nil"/>
              <w:bottom w:val="single" w:color="auto" w:sz="4" w:space="0"/>
              <w:right w:val="single" w:color="auto" w:sz="4" w:space="0"/>
            </w:tcBorders>
            <w:noWrap w:val="0"/>
            <w:vAlign w:val="top"/>
          </w:tcPr>
          <w:p>
            <w:pPr>
              <w:rPr>
                <w:rFonts w:hint="eastAsia" w:ascii="宋体" w:hAnsi="宋体" w:cs="宋体"/>
                <w:szCs w:val="21"/>
              </w:rPr>
            </w:pPr>
          </w:p>
        </w:tc>
      </w:tr>
    </w:tbl>
    <w:p>
      <w:pPr>
        <w:pStyle w:val="10"/>
        <w:spacing w:before="0" w:beforeAutospacing="0" w:after="0" w:afterAutospacing="0" w:line="360" w:lineRule="auto"/>
        <w:rPr>
          <w:rFonts w:hint="eastAsia" w:cs="宋体"/>
          <w:szCs w:val="24"/>
        </w:rPr>
      </w:pPr>
      <w:r>
        <w:rPr>
          <w:rFonts w:hint="eastAsia" w:cs="宋体"/>
          <w:szCs w:val="24"/>
        </w:rPr>
        <w:t>注：此报价表为磋商小组了解其报价组成情况，仅作参考。表格形式不足描述，可另行行文编制。</w:t>
      </w:r>
    </w:p>
    <w:p>
      <w:pPr>
        <w:pStyle w:val="10"/>
        <w:spacing w:before="0" w:beforeAutospacing="0" w:after="0" w:afterAutospacing="0" w:line="360" w:lineRule="auto"/>
        <w:rPr>
          <w:rFonts w:hint="eastAsia" w:cs="宋体"/>
          <w:szCs w:val="24"/>
        </w:rPr>
      </w:pPr>
      <w:r>
        <w:rPr>
          <w:rFonts w:hint="eastAsia" w:cs="宋体"/>
          <w:szCs w:val="24"/>
        </w:rPr>
        <w:t>法定代表人或其委托代理人（签字）：</w:t>
      </w:r>
    </w:p>
    <w:p>
      <w:pPr>
        <w:pStyle w:val="10"/>
        <w:spacing w:before="0" w:beforeAutospacing="0" w:after="0" w:afterAutospacing="0" w:line="360" w:lineRule="auto"/>
        <w:rPr>
          <w:rFonts w:hint="eastAsia" w:cs="宋体"/>
          <w:szCs w:val="24"/>
        </w:rPr>
      </w:pPr>
      <w:r>
        <w:rPr>
          <w:rFonts w:hint="eastAsia" w:cs="宋体"/>
          <w:szCs w:val="24"/>
        </w:rPr>
        <w:t>磋商供应商名称（公章）：　　</w:t>
      </w:r>
    </w:p>
    <w:p/>
    <w:p>
      <w:pPr>
        <w:pStyle w:val="2"/>
      </w:pPr>
    </w:p>
    <w:p/>
    <w:p>
      <w:pPr>
        <w:pStyle w:val="2"/>
      </w:pPr>
    </w:p>
    <w:p/>
    <w:p>
      <w:pPr>
        <w:pStyle w:val="2"/>
      </w:pPr>
    </w:p>
    <w:p/>
    <w:p>
      <w:pPr>
        <w:pStyle w:val="2"/>
      </w:pPr>
    </w:p>
    <w:p/>
    <w:p>
      <w:pPr>
        <w:pStyle w:val="2"/>
      </w:pPr>
    </w:p>
    <w:p/>
    <w:p>
      <w:pPr>
        <w:pStyle w:val="2"/>
      </w:pPr>
    </w:p>
    <w:p>
      <w:pPr>
        <w:spacing w:line="500" w:lineRule="exact"/>
        <w:rPr>
          <w:rFonts w:hint="eastAsia" w:ascii="宋体" w:hAnsi="宋体" w:cs="宋体"/>
          <w:b/>
          <w:bCs/>
          <w:sz w:val="28"/>
          <w:szCs w:val="28"/>
        </w:rPr>
      </w:pPr>
      <w:r>
        <w:rPr>
          <w:rFonts w:hint="eastAsia" w:ascii="宋体" w:hAnsi="宋体" w:cs="宋体"/>
          <w:sz w:val="28"/>
          <w:szCs w:val="28"/>
        </w:rPr>
        <w:t>附件</w:t>
      </w:r>
      <w:r>
        <w:rPr>
          <w:rFonts w:hint="eastAsia" w:ascii="宋体" w:hAnsi="宋体" w:cs="宋体"/>
          <w:sz w:val="28"/>
          <w:szCs w:val="28"/>
          <w:lang w:eastAsia="zh-CN"/>
        </w:rPr>
        <w:t>三</w:t>
      </w:r>
      <w:r>
        <w:rPr>
          <w:rFonts w:hint="eastAsia" w:ascii="宋体" w:hAnsi="宋体" w:cs="宋体"/>
          <w:sz w:val="28"/>
          <w:szCs w:val="28"/>
        </w:rPr>
        <w:t>：</w:t>
      </w:r>
    </w:p>
    <w:p>
      <w:pPr>
        <w:adjustRightInd w:val="0"/>
        <w:snapToGrid w:val="0"/>
        <w:spacing w:line="500" w:lineRule="exact"/>
        <w:ind w:left="-88" w:leftChars="-42"/>
        <w:rPr>
          <w:rFonts w:hint="eastAsia" w:ascii="宋体" w:hAnsi="宋体" w:cs="宋体"/>
          <w:sz w:val="28"/>
          <w:szCs w:val="28"/>
        </w:rPr>
      </w:pPr>
      <w:r>
        <w:rPr>
          <w:rFonts w:hint="eastAsia" w:ascii="宋体" w:hAnsi="宋体" w:cs="宋体"/>
          <w:bCs/>
        </w:rPr>
        <w:t xml:space="preserve">                       </w:t>
      </w:r>
    </w:p>
    <w:p>
      <w:pPr>
        <w:spacing w:line="500" w:lineRule="exact"/>
        <w:jc w:val="center"/>
        <w:rPr>
          <w:rFonts w:hint="eastAsia" w:ascii="宋体" w:hAnsi="宋体" w:cs="宋体"/>
          <w:b/>
          <w:sz w:val="32"/>
          <w:szCs w:val="32"/>
        </w:rPr>
      </w:pPr>
      <w:r>
        <w:rPr>
          <w:rFonts w:hint="eastAsia" w:ascii="宋体" w:hAnsi="宋体" w:cs="宋体"/>
          <w:b/>
          <w:sz w:val="32"/>
          <w:szCs w:val="32"/>
        </w:rPr>
        <w:t>技术响应、偏离情况说明表</w:t>
      </w:r>
    </w:p>
    <w:p>
      <w:pPr>
        <w:spacing w:line="500" w:lineRule="exact"/>
        <w:rPr>
          <w:rFonts w:hint="eastAsia" w:ascii="宋体" w:hAnsi="宋体" w:cs="宋体"/>
        </w:rPr>
      </w:pPr>
      <w:r>
        <w:rPr>
          <w:rFonts w:hint="eastAsia" w:ascii="宋体" w:hAnsi="宋体" w:cs="宋体"/>
        </w:rPr>
        <w:t>采购项目名称:</w:t>
      </w:r>
      <w:r>
        <w:rPr>
          <w:rFonts w:hint="eastAsia" w:ascii="宋体" w:hAnsi="宋体" w:cs="宋体"/>
          <w:u w:val="single"/>
        </w:rPr>
        <w:t xml:space="preserve">                 </w:t>
      </w:r>
      <w:r>
        <w:rPr>
          <w:rFonts w:hint="eastAsia" w:ascii="宋体" w:hAnsi="宋体" w:cs="宋体"/>
        </w:rPr>
        <w:t xml:space="preserve">    </w:t>
      </w:r>
    </w:p>
    <w:tbl>
      <w:tblPr>
        <w:tblStyle w:val="12"/>
        <w:tblW w:w="945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4"/>
        <w:gridCol w:w="3257"/>
        <w:gridCol w:w="2588"/>
        <w:gridCol w:w="1387"/>
        <w:gridCol w:w="16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r>
              <w:rPr>
                <w:rFonts w:hint="eastAsia" w:ascii="宋体" w:hAnsi="宋体" w:cs="宋体"/>
              </w:rPr>
              <w:t xml:space="preserve">                     </w:t>
            </w:r>
            <w:bookmarkStart w:id="45" w:name="_Toc528494290"/>
            <w:bookmarkStart w:id="46" w:name="_Toc528493172"/>
            <w:bookmarkStart w:id="47" w:name="_Toc528493584"/>
            <w:bookmarkStart w:id="48" w:name="_Toc528493139"/>
            <w:bookmarkStart w:id="49" w:name="_Toc528493928"/>
            <w:bookmarkStart w:id="50" w:name="_Toc528493091"/>
            <w:r>
              <w:rPr>
                <w:rFonts w:hint="eastAsia" w:ascii="宋体" w:hAnsi="宋体" w:cs="宋体"/>
              </w:rPr>
              <w:t>序号</w:t>
            </w:r>
            <w:bookmarkEnd w:id="45"/>
            <w:bookmarkEnd w:id="46"/>
            <w:bookmarkEnd w:id="47"/>
            <w:bookmarkEnd w:id="48"/>
            <w:bookmarkEnd w:id="49"/>
            <w:bookmarkEnd w:id="50"/>
          </w:p>
        </w:tc>
        <w:tc>
          <w:tcPr>
            <w:tcW w:w="325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bookmarkStart w:id="51" w:name="_Toc528493585"/>
            <w:bookmarkStart w:id="52" w:name="_Toc528493092"/>
            <w:bookmarkStart w:id="53" w:name="_Toc528493173"/>
            <w:bookmarkStart w:id="54" w:name="_Toc528493929"/>
            <w:bookmarkStart w:id="55" w:name="_Toc528493140"/>
            <w:bookmarkStart w:id="56" w:name="_Toc528494291"/>
            <w:r>
              <w:rPr>
                <w:rFonts w:hint="eastAsia" w:ascii="宋体" w:hAnsi="宋体" w:cs="宋体"/>
              </w:rPr>
              <w:t>磋商文件要求</w:t>
            </w:r>
            <w:bookmarkEnd w:id="51"/>
            <w:bookmarkEnd w:id="52"/>
            <w:bookmarkEnd w:id="53"/>
            <w:bookmarkEnd w:id="54"/>
            <w:bookmarkEnd w:id="55"/>
            <w:bookmarkEnd w:id="56"/>
          </w:p>
        </w:tc>
        <w:tc>
          <w:tcPr>
            <w:tcW w:w="2588"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bookmarkStart w:id="57" w:name="_Toc528493141"/>
            <w:bookmarkStart w:id="58" w:name="_Toc528493174"/>
            <w:bookmarkStart w:id="59" w:name="_Toc528493586"/>
            <w:bookmarkStart w:id="60" w:name="_Toc528494292"/>
            <w:bookmarkStart w:id="61" w:name="_Toc528493093"/>
            <w:bookmarkStart w:id="62" w:name="_Toc528493930"/>
            <w:r>
              <w:rPr>
                <w:rFonts w:hint="eastAsia" w:ascii="宋体" w:hAnsi="宋体" w:cs="宋体"/>
              </w:rPr>
              <w:t>磋商响应文件具体响应</w:t>
            </w:r>
            <w:bookmarkEnd w:id="57"/>
            <w:bookmarkEnd w:id="58"/>
            <w:bookmarkEnd w:id="59"/>
            <w:bookmarkEnd w:id="60"/>
            <w:bookmarkEnd w:id="61"/>
            <w:bookmarkEnd w:id="62"/>
          </w:p>
        </w:tc>
        <w:tc>
          <w:tcPr>
            <w:tcW w:w="138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bookmarkStart w:id="63" w:name="_Toc528493094"/>
            <w:bookmarkStart w:id="64" w:name="_Toc528493587"/>
            <w:bookmarkStart w:id="65" w:name="_Toc528494293"/>
            <w:bookmarkStart w:id="66" w:name="_Toc528493175"/>
            <w:bookmarkStart w:id="67" w:name="_Toc528493142"/>
            <w:bookmarkStart w:id="68" w:name="_Toc528493931"/>
            <w:r>
              <w:rPr>
                <w:rFonts w:hint="eastAsia" w:ascii="宋体" w:hAnsi="宋体" w:cs="宋体"/>
              </w:rPr>
              <w:t>响应/偏离</w:t>
            </w:r>
            <w:bookmarkEnd w:id="63"/>
            <w:bookmarkEnd w:id="64"/>
            <w:bookmarkEnd w:id="65"/>
            <w:bookmarkEnd w:id="66"/>
            <w:bookmarkEnd w:id="67"/>
            <w:bookmarkEnd w:id="68"/>
          </w:p>
        </w:tc>
        <w:tc>
          <w:tcPr>
            <w:tcW w:w="1601"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lang w:val="en-US" w:eastAsia="zh-CN"/>
              </w:rPr>
              <w:t>号指标对应页码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bookmarkStart w:id="69" w:name="_Toc528494295"/>
            <w:bookmarkStart w:id="70" w:name="_Toc528493589"/>
            <w:bookmarkStart w:id="71" w:name="_Toc528493177"/>
            <w:bookmarkStart w:id="72" w:name="_Toc528493144"/>
            <w:bookmarkStart w:id="73" w:name="_Toc528493933"/>
            <w:bookmarkStart w:id="74" w:name="_Toc528493096"/>
            <w:r>
              <w:rPr>
                <w:rFonts w:hint="eastAsia" w:ascii="宋体" w:hAnsi="宋体" w:cs="宋体"/>
              </w:rPr>
              <w:t>1</w:t>
            </w:r>
            <w:bookmarkEnd w:id="69"/>
            <w:bookmarkEnd w:id="70"/>
            <w:bookmarkEnd w:id="71"/>
            <w:bookmarkEnd w:id="72"/>
            <w:bookmarkEnd w:id="73"/>
            <w:bookmarkEnd w:id="74"/>
          </w:p>
        </w:tc>
        <w:tc>
          <w:tcPr>
            <w:tcW w:w="3257"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szCs w:val="24"/>
              </w:rPr>
            </w:pPr>
          </w:p>
        </w:tc>
        <w:tc>
          <w:tcPr>
            <w:tcW w:w="258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3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601"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bookmarkStart w:id="75" w:name="_Toc528493934"/>
            <w:bookmarkStart w:id="76" w:name="_Toc528493178"/>
            <w:bookmarkStart w:id="77" w:name="_Toc528494296"/>
            <w:bookmarkStart w:id="78" w:name="_Toc528493590"/>
            <w:bookmarkStart w:id="79" w:name="_Toc528493145"/>
            <w:bookmarkStart w:id="80" w:name="_Toc528493097"/>
            <w:r>
              <w:rPr>
                <w:rFonts w:hint="eastAsia" w:ascii="宋体" w:hAnsi="宋体" w:cs="宋体"/>
              </w:rPr>
              <w:t>2</w:t>
            </w:r>
            <w:bookmarkEnd w:id="75"/>
            <w:bookmarkEnd w:id="76"/>
            <w:bookmarkEnd w:id="77"/>
            <w:bookmarkEnd w:id="78"/>
            <w:bookmarkEnd w:id="79"/>
            <w:bookmarkEnd w:id="80"/>
          </w:p>
        </w:tc>
        <w:tc>
          <w:tcPr>
            <w:tcW w:w="3257"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szCs w:val="24"/>
              </w:rPr>
            </w:pPr>
          </w:p>
        </w:tc>
        <w:tc>
          <w:tcPr>
            <w:tcW w:w="258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3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601"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bookmarkStart w:id="81" w:name="_Toc528493591"/>
            <w:bookmarkStart w:id="82" w:name="_Toc528493935"/>
            <w:bookmarkStart w:id="83" w:name="_Toc528493179"/>
            <w:bookmarkStart w:id="84" w:name="_Toc528493098"/>
            <w:bookmarkStart w:id="85" w:name="_Toc528494297"/>
            <w:bookmarkStart w:id="86" w:name="_Toc528493146"/>
            <w:r>
              <w:rPr>
                <w:rFonts w:hint="eastAsia" w:ascii="宋体" w:hAnsi="宋体" w:cs="宋体"/>
              </w:rPr>
              <w:t>3</w:t>
            </w:r>
            <w:bookmarkEnd w:id="81"/>
            <w:bookmarkEnd w:id="82"/>
            <w:bookmarkEnd w:id="83"/>
            <w:bookmarkEnd w:id="84"/>
            <w:bookmarkEnd w:id="85"/>
            <w:bookmarkEnd w:id="86"/>
          </w:p>
        </w:tc>
        <w:tc>
          <w:tcPr>
            <w:tcW w:w="3257"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30"/>
              </w:tabs>
              <w:spacing w:before="120" w:after="120"/>
              <w:rPr>
                <w:rFonts w:hint="eastAsia" w:ascii="宋体" w:hAnsi="宋体" w:cs="宋体"/>
                <w:szCs w:val="24"/>
              </w:rPr>
            </w:pPr>
          </w:p>
        </w:tc>
        <w:tc>
          <w:tcPr>
            <w:tcW w:w="258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3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601"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bookmarkStart w:id="87" w:name="_Toc528493936"/>
            <w:bookmarkStart w:id="88" w:name="_Toc528493592"/>
            <w:bookmarkStart w:id="89" w:name="_Toc528493180"/>
            <w:bookmarkStart w:id="90" w:name="_Toc528493147"/>
            <w:bookmarkStart w:id="91" w:name="_Toc528494298"/>
            <w:bookmarkStart w:id="92" w:name="_Toc528493099"/>
            <w:r>
              <w:rPr>
                <w:rFonts w:hint="eastAsia" w:ascii="宋体" w:hAnsi="宋体" w:cs="宋体"/>
              </w:rPr>
              <w:t>4</w:t>
            </w:r>
            <w:bookmarkEnd w:id="87"/>
            <w:bookmarkEnd w:id="88"/>
            <w:bookmarkEnd w:id="89"/>
            <w:bookmarkEnd w:id="90"/>
            <w:bookmarkEnd w:id="91"/>
            <w:bookmarkEnd w:id="92"/>
          </w:p>
        </w:tc>
        <w:tc>
          <w:tcPr>
            <w:tcW w:w="3257"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30"/>
              </w:tabs>
              <w:spacing w:before="120" w:after="120"/>
              <w:rPr>
                <w:rFonts w:hint="eastAsia" w:ascii="宋体" w:hAnsi="宋体" w:cs="宋体"/>
                <w:szCs w:val="24"/>
              </w:rPr>
            </w:pPr>
          </w:p>
        </w:tc>
        <w:tc>
          <w:tcPr>
            <w:tcW w:w="258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3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601"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eastAsia="宋体" w:cs="宋体"/>
                <w:lang w:eastAsia="zh-CN"/>
              </w:rPr>
            </w:pPr>
            <w:r>
              <w:rPr>
                <w:rFonts w:hint="eastAsia" w:ascii="宋体" w:hAnsi="宋体" w:cs="宋体"/>
                <w:lang w:val="en-US" w:eastAsia="zh-CN"/>
              </w:rPr>
              <w:t>5</w:t>
            </w:r>
          </w:p>
        </w:tc>
        <w:tc>
          <w:tcPr>
            <w:tcW w:w="3257"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szCs w:val="24"/>
              </w:rPr>
            </w:pPr>
          </w:p>
        </w:tc>
        <w:tc>
          <w:tcPr>
            <w:tcW w:w="258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38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601"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24"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bookmarkStart w:id="93" w:name="_Toc528493594"/>
            <w:bookmarkStart w:id="94" w:name="_Toc528493938"/>
            <w:bookmarkStart w:id="95" w:name="_Toc528493101"/>
            <w:bookmarkStart w:id="96" w:name="_Toc528493182"/>
            <w:bookmarkStart w:id="97" w:name="_Toc528494300"/>
            <w:bookmarkStart w:id="98" w:name="_Toc528493149"/>
            <w:r>
              <w:rPr>
                <w:rFonts w:hint="eastAsia" w:ascii="宋体" w:hAnsi="宋体" w:cs="宋体"/>
              </w:rPr>
              <w:t>…</w:t>
            </w:r>
            <w:bookmarkEnd w:id="93"/>
            <w:bookmarkEnd w:id="94"/>
            <w:bookmarkEnd w:id="95"/>
            <w:bookmarkEnd w:id="96"/>
            <w:bookmarkEnd w:id="97"/>
            <w:bookmarkEnd w:id="98"/>
          </w:p>
        </w:tc>
        <w:tc>
          <w:tcPr>
            <w:tcW w:w="3257"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2588"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rPr>
            </w:pPr>
          </w:p>
        </w:tc>
        <w:tc>
          <w:tcPr>
            <w:tcW w:w="1387" w:type="dxa"/>
            <w:tcBorders>
              <w:top w:val="single" w:color="auto" w:sz="6" w:space="0"/>
              <w:left w:val="single" w:color="auto" w:sz="6" w:space="0"/>
              <w:bottom w:val="single" w:color="auto" w:sz="4" w:space="0"/>
              <w:right w:val="single" w:color="auto" w:sz="4" w:space="0"/>
            </w:tcBorders>
            <w:noWrap w:val="0"/>
            <w:vAlign w:val="center"/>
          </w:tcPr>
          <w:p>
            <w:pPr>
              <w:adjustRightInd w:val="0"/>
              <w:snapToGrid w:val="0"/>
              <w:spacing w:line="500" w:lineRule="exact"/>
              <w:jc w:val="center"/>
              <w:outlineLvl w:val="0"/>
              <w:rPr>
                <w:rFonts w:hint="eastAsia" w:ascii="宋体" w:hAnsi="宋体" w:cs="宋体"/>
              </w:rPr>
            </w:pPr>
          </w:p>
        </w:tc>
        <w:tc>
          <w:tcPr>
            <w:tcW w:w="1601" w:type="dxa"/>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outlineLvl w:val="0"/>
              <w:rPr>
                <w:rFonts w:hint="eastAsia" w:ascii="宋体" w:hAnsi="宋体" w:cs="宋体"/>
              </w:rPr>
            </w:pPr>
          </w:p>
        </w:tc>
      </w:tr>
    </w:tbl>
    <w:p>
      <w:pPr>
        <w:widowControl/>
        <w:shd w:val="clear" w:color="auto" w:fill="FFFFFF"/>
        <w:spacing w:line="500" w:lineRule="exact"/>
        <w:ind w:left="748" w:hanging="748"/>
        <w:rPr>
          <w:rFonts w:hint="eastAsia" w:ascii="宋体" w:hAnsi="宋体" w:cs="宋体"/>
        </w:rPr>
      </w:pPr>
      <w:r>
        <w:rPr>
          <w:rFonts w:hint="eastAsia" w:ascii="宋体" w:hAnsi="宋体" w:cs="宋体"/>
        </w:rPr>
        <w:t>说明：应对照竞争性磋商文件“第四章  运行功能及要求”，逐条说明所提供货物和服务已对磋商文件的技术规格做出了实质性的响应，并申明与技术规格条文的响应和偏离。特别对有具体参数要求的指标，供应商必须提供所供设备的具体参数值。</w:t>
      </w:r>
    </w:p>
    <w:p>
      <w:pPr>
        <w:pStyle w:val="5"/>
        <w:ind w:left="480"/>
        <w:rPr>
          <w:rFonts w:hint="eastAsia" w:cs="宋体"/>
          <w:color w:val="auto"/>
        </w:rPr>
      </w:pPr>
    </w:p>
    <w:p>
      <w:pPr>
        <w:pStyle w:val="5"/>
        <w:ind w:left="480"/>
        <w:rPr>
          <w:rFonts w:hint="eastAsia" w:cs="宋体"/>
          <w:color w:val="auto"/>
        </w:rPr>
      </w:pPr>
    </w:p>
    <w:p>
      <w:pPr>
        <w:pStyle w:val="5"/>
        <w:ind w:left="480"/>
        <w:rPr>
          <w:rFonts w:hint="eastAsia" w:cs="宋体"/>
          <w:color w:val="auto"/>
        </w:rPr>
      </w:pPr>
    </w:p>
    <w:p>
      <w:pPr>
        <w:adjustRightInd w:val="0"/>
        <w:snapToGrid w:val="0"/>
        <w:spacing w:line="500" w:lineRule="exact"/>
        <w:ind w:firstLine="3780" w:firstLineChars="1800"/>
        <w:jc w:val="both"/>
        <w:rPr>
          <w:rFonts w:hint="eastAsia" w:ascii="宋体" w:hAnsi="宋体" w:cs="宋体"/>
          <w:szCs w:val="22"/>
          <w:u w:val="single"/>
        </w:rPr>
      </w:pPr>
      <w:r>
        <w:rPr>
          <w:rFonts w:hint="eastAsia" w:ascii="宋体" w:hAnsi="宋体" w:cs="宋体"/>
          <w:szCs w:val="22"/>
        </w:rPr>
        <w:t xml:space="preserve"> 法人授权代表：</w:t>
      </w:r>
      <w:r>
        <w:rPr>
          <w:rFonts w:hint="eastAsia" w:ascii="宋体" w:hAnsi="宋体" w:cs="宋体"/>
          <w:szCs w:val="22"/>
          <w:u w:val="single"/>
        </w:rPr>
        <w:t xml:space="preserve">（签字）  </w:t>
      </w:r>
    </w:p>
    <w:p>
      <w:pPr>
        <w:adjustRightInd w:val="0"/>
        <w:snapToGrid w:val="0"/>
        <w:spacing w:line="500" w:lineRule="exact"/>
        <w:ind w:firstLine="630" w:firstLineChars="300"/>
        <w:jc w:val="center"/>
        <w:rPr>
          <w:rFonts w:hint="eastAsia" w:ascii="宋体" w:hAnsi="宋体" w:cs="宋体"/>
          <w:sz w:val="28"/>
          <w:szCs w:val="28"/>
        </w:rPr>
      </w:pP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日</w:t>
      </w:r>
      <w:r>
        <w:rPr>
          <w:rFonts w:hint="eastAsia" w:ascii="宋体" w:hAnsi="宋体" w:cs="宋体"/>
          <w:lang w:val="en-US" w:eastAsia="zh-CN"/>
        </w:rPr>
        <w:t xml:space="preserve">   </w:t>
      </w:r>
      <w:r>
        <w:rPr>
          <w:rFonts w:hint="eastAsia" w:ascii="宋体" w:hAnsi="宋体" w:cs="宋体"/>
        </w:rPr>
        <w:t>期：</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 xml:space="preserve">日 </w:t>
      </w:r>
    </w:p>
    <w:p/>
    <w:p>
      <w:pPr>
        <w:pStyle w:val="2"/>
      </w:pPr>
    </w:p>
    <w:p/>
    <w:p>
      <w:pPr>
        <w:pStyle w:val="2"/>
      </w:pPr>
    </w:p>
    <w:p/>
    <w:p>
      <w:pPr>
        <w:pStyle w:val="2"/>
      </w:pPr>
    </w:p>
    <w:p/>
    <w:p>
      <w:pPr>
        <w:pStyle w:val="2"/>
      </w:pPr>
    </w:p>
    <w:p/>
    <w:p>
      <w:pPr>
        <w:pStyle w:val="2"/>
      </w:pPr>
    </w:p>
    <w:p>
      <w:pPr>
        <w:adjustRightInd w:val="0"/>
        <w:snapToGrid w:val="0"/>
        <w:spacing w:line="500" w:lineRule="exact"/>
        <w:jc w:val="left"/>
        <w:rPr>
          <w:rFonts w:hint="eastAsia" w:ascii="宋体" w:hAnsi="宋体" w:cs="宋体"/>
          <w:bCs/>
          <w:sz w:val="28"/>
          <w:szCs w:val="28"/>
        </w:rPr>
      </w:pPr>
    </w:p>
    <w:p>
      <w:pPr>
        <w:adjustRightInd w:val="0"/>
        <w:snapToGrid w:val="0"/>
        <w:spacing w:line="500" w:lineRule="exact"/>
        <w:jc w:val="left"/>
        <w:rPr>
          <w:rFonts w:hint="eastAsia" w:ascii="宋体" w:hAnsi="宋体" w:cs="宋体"/>
          <w:bCs/>
          <w:sz w:val="28"/>
          <w:szCs w:val="28"/>
        </w:rPr>
      </w:pPr>
      <w:r>
        <w:rPr>
          <w:rFonts w:hint="eastAsia" w:ascii="宋体" w:hAnsi="宋体" w:cs="宋体"/>
          <w:bCs/>
          <w:sz w:val="28"/>
          <w:szCs w:val="28"/>
        </w:rPr>
        <w:t>附件</w:t>
      </w:r>
      <w:r>
        <w:rPr>
          <w:rFonts w:hint="eastAsia" w:ascii="宋体" w:hAnsi="宋体" w:cs="宋体"/>
          <w:bCs/>
          <w:sz w:val="28"/>
          <w:szCs w:val="28"/>
          <w:lang w:eastAsia="zh-CN"/>
        </w:rPr>
        <w:t>四</w:t>
      </w:r>
      <w:r>
        <w:rPr>
          <w:rFonts w:hint="eastAsia" w:ascii="宋体" w:hAnsi="宋体" w:cs="宋体"/>
          <w:bCs/>
          <w:sz w:val="28"/>
          <w:szCs w:val="28"/>
        </w:rPr>
        <w:t xml:space="preserve">      </w:t>
      </w:r>
    </w:p>
    <w:p>
      <w:pPr>
        <w:adjustRightInd w:val="0"/>
        <w:snapToGrid w:val="0"/>
        <w:spacing w:line="500" w:lineRule="exact"/>
        <w:jc w:val="center"/>
        <w:rPr>
          <w:rFonts w:hint="eastAsia" w:ascii="宋体" w:hAnsi="宋体" w:cs="宋体"/>
          <w:b/>
          <w:sz w:val="28"/>
          <w:szCs w:val="28"/>
        </w:rPr>
      </w:pPr>
    </w:p>
    <w:p>
      <w:pPr>
        <w:adjustRightInd w:val="0"/>
        <w:snapToGrid w:val="0"/>
        <w:spacing w:line="500" w:lineRule="exact"/>
        <w:jc w:val="center"/>
        <w:rPr>
          <w:rFonts w:hint="eastAsia" w:ascii="宋体" w:hAnsi="宋体" w:cs="宋体"/>
          <w:b/>
          <w:sz w:val="32"/>
          <w:szCs w:val="32"/>
        </w:rPr>
      </w:pPr>
      <w:r>
        <w:rPr>
          <w:rFonts w:hint="eastAsia" w:ascii="宋体" w:hAnsi="宋体" w:cs="宋体"/>
          <w:b/>
          <w:sz w:val="32"/>
          <w:szCs w:val="32"/>
        </w:rPr>
        <w:t>法定代表人授权书</w:t>
      </w:r>
    </w:p>
    <w:p>
      <w:pPr>
        <w:adjustRightInd w:val="0"/>
        <w:snapToGrid w:val="0"/>
        <w:spacing w:line="500" w:lineRule="exact"/>
        <w:rPr>
          <w:rFonts w:hint="eastAsia" w:ascii="宋体" w:hAnsi="宋体" w:cs="宋体"/>
          <w:sz w:val="28"/>
          <w:szCs w:val="28"/>
        </w:rPr>
      </w:pPr>
    </w:p>
    <w:p>
      <w:pPr>
        <w:spacing w:line="500" w:lineRule="exact"/>
        <w:rPr>
          <w:rFonts w:hint="eastAsia" w:ascii="宋体" w:hAnsi="宋体" w:cs="宋体"/>
          <w:szCs w:val="24"/>
        </w:rPr>
      </w:pPr>
      <w:r>
        <w:rPr>
          <w:rFonts w:hint="eastAsia" w:ascii="宋体" w:hAnsi="宋体" w:cs="宋体"/>
          <w:szCs w:val="24"/>
          <w:u w:val="single"/>
        </w:rPr>
        <w:t>（采购人）</w:t>
      </w:r>
      <w:r>
        <w:rPr>
          <w:rFonts w:hint="eastAsia" w:ascii="宋体" w:hAnsi="宋体" w:cs="宋体"/>
          <w:szCs w:val="24"/>
        </w:rPr>
        <w:t>：</w:t>
      </w:r>
    </w:p>
    <w:p>
      <w:pPr>
        <w:spacing w:line="500" w:lineRule="exact"/>
        <w:ind w:firstLine="420" w:firstLineChars="200"/>
        <w:rPr>
          <w:rFonts w:hint="eastAsia" w:ascii="宋体" w:hAnsi="宋体" w:cs="宋体"/>
          <w:szCs w:val="24"/>
        </w:rPr>
      </w:pPr>
      <w:r>
        <w:rPr>
          <w:rFonts w:hint="eastAsia" w:ascii="宋体" w:hAnsi="宋体" w:cs="宋体"/>
          <w:szCs w:val="24"/>
        </w:rPr>
        <w:t>兹授权</w:t>
      </w:r>
      <w:r>
        <w:rPr>
          <w:rFonts w:hint="eastAsia" w:ascii="宋体" w:hAnsi="宋体" w:cs="宋体"/>
          <w:szCs w:val="24"/>
          <w:u w:val="single"/>
        </w:rPr>
        <w:t xml:space="preserve">      </w:t>
      </w:r>
      <w:r>
        <w:rPr>
          <w:rFonts w:hint="eastAsia" w:ascii="宋体" w:hAnsi="宋体" w:cs="宋体"/>
          <w:szCs w:val="24"/>
        </w:rPr>
        <w:t>同志为我公司参加贵单位组织的</w:t>
      </w:r>
      <w:r>
        <w:rPr>
          <w:rFonts w:hint="eastAsia" w:ascii="宋体" w:hAnsi="宋体" w:cs="宋体"/>
          <w:szCs w:val="24"/>
          <w:u w:val="single"/>
        </w:rPr>
        <w:t>（项    目    名   称）</w:t>
      </w:r>
      <w:r>
        <w:rPr>
          <w:rFonts w:hint="eastAsia" w:ascii="宋体" w:hAnsi="宋体" w:cs="宋体"/>
          <w:szCs w:val="24"/>
        </w:rPr>
        <w:t>磋商活动的代表人，全权代表我公司处理在该项目活动中的一切事宜。代理期限从</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日起至</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 xml:space="preserve">日止。 </w:t>
      </w:r>
    </w:p>
    <w:p>
      <w:pPr>
        <w:spacing w:line="500" w:lineRule="exact"/>
        <w:rPr>
          <w:rFonts w:hint="eastAsia" w:ascii="宋体" w:hAnsi="宋体" w:cs="宋体"/>
          <w:szCs w:val="24"/>
        </w:rPr>
      </w:pPr>
    </w:p>
    <w:p>
      <w:pPr>
        <w:spacing w:line="500" w:lineRule="exact"/>
        <w:rPr>
          <w:rFonts w:hint="eastAsia" w:ascii="宋体" w:hAnsi="宋体" w:cs="宋体"/>
          <w:szCs w:val="24"/>
        </w:rPr>
      </w:pPr>
      <w:r>
        <w:rPr>
          <w:rFonts w:hint="eastAsia" w:ascii="宋体" w:hAnsi="宋体" w:cs="宋体"/>
          <w:szCs w:val="24"/>
        </w:rPr>
        <w:t>授权单位（签章）：</w:t>
      </w:r>
      <w:r>
        <w:rPr>
          <w:rFonts w:hint="eastAsia" w:ascii="宋体" w:hAnsi="宋体" w:cs="宋体"/>
          <w:szCs w:val="24"/>
          <w:u w:val="single"/>
        </w:rPr>
        <w:t xml:space="preserve">               </w:t>
      </w:r>
    </w:p>
    <w:p>
      <w:pPr>
        <w:spacing w:line="500" w:lineRule="exact"/>
        <w:rPr>
          <w:rFonts w:hint="eastAsia" w:ascii="宋体" w:hAnsi="宋体" w:cs="宋体"/>
          <w:szCs w:val="24"/>
        </w:rPr>
      </w:pPr>
      <w:r>
        <w:rPr>
          <w:rFonts w:hint="eastAsia" w:ascii="宋体" w:hAnsi="宋体" w:cs="宋体"/>
          <w:szCs w:val="24"/>
        </w:rPr>
        <w:t>法定代表人（签字或盖章）：</w:t>
      </w:r>
      <w:r>
        <w:rPr>
          <w:rFonts w:hint="eastAsia" w:ascii="宋体" w:hAnsi="宋体" w:cs="宋体"/>
          <w:szCs w:val="24"/>
          <w:u w:val="single"/>
        </w:rPr>
        <w:t xml:space="preserve">       </w:t>
      </w:r>
    </w:p>
    <w:p>
      <w:pPr>
        <w:spacing w:line="500" w:lineRule="exact"/>
        <w:rPr>
          <w:rFonts w:hint="eastAsia" w:ascii="宋体" w:hAnsi="宋体" w:cs="宋体"/>
          <w:szCs w:val="24"/>
        </w:rPr>
      </w:pPr>
      <w:r>
        <w:rPr>
          <w:rFonts w:hint="eastAsia" w:ascii="宋体" w:hAnsi="宋体" w:cs="宋体"/>
          <w:szCs w:val="24"/>
        </w:rPr>
        <w:t>签发日期：</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rPr>
        <w:t>日</w:t>
      </w:r>
    </w:p>
    <w:p>
      <w:pPr>
        <w:spacing w:line="500" w:lineRule="exact"/>
        <w:rPr>
          <w:rFonts w:hint="eastAsia" w:ascii="宋体" w:hAnsi="宋体" w:cs="宋体"/>
          <w:szCs w:val="24"/>
        </w:rPr>
      </w:pPr>
    </w:p>
    <w:p>
      <w:pPr>
        <w:spacing w:line="500" w:lineRule="exact"/>
        <w:ind w:firstLine="420" w:firstLineChars="200"/>
        <w:rPr>
          <w:rFonts w:hint="eastAsia" w:ascii="宋体" w:hAnsi="宋体" w:cs="宋体"/>
          <w:szCs w:val="24"/>
        </w:rPr>
      </w:pPr>
      <w:r>
        <w:rPr>
          <w:rFonts w:hint="eastAsia" w:ascii="宋体" w:hAnsi="宋体" w:cs="宋体"/>
          <w:szCs w:val="24"/>
        </w:rPr>
        <w:t>附：代理人工作单位：</w:t>
      </w:r>
      <w:r>
        <w:rPr>
          <w:rFonts w:hint="eastAsia" w:ascii="宋体" w:hAnsi="宋体" w:cs="宋体"/>
          <w:szCs w:val="24"/>
          <w:u w:val="single"/>
        </w:rPr>
        <w:t xml:space="preserve">                     </w:t>
      </w:r>
    </w:p>
    <w:p>
      <w:pPr>
        <w:spacing w:line="500" w:lineRule="exact"/>
        <w:ind w:firstLine="420" w:firstLineChars="200"/>
        <w:rPr>
          <w:rFonts w:hint="eastAsia" w:ascii="宋体" w:hAnsi="宋体" w:cs="宋体"/>
          <w:szCs w:val="24"/>
        </w:rPr>
      </w:pP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szCs w:val="24"/>
        </w:rPr>
        <w:t xml:space="preserve">      性别：</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p>
    <w:p>
      <w:pPr>
        <w:adjustRightInd w:val="0"/>
        <w:snapToGrid w:val="0"/>
        <w:spacing w:line="500" w:lineRule="exact"/>
        <w:ind w:left="-88" w:leftChars="-42" w:firstLine="525" w:firstLineChars="250"/>
        <w:rPr>
          <w:rFonts w:hint="default" w:ascii="宋体" w:hAnsi="宋体" w:eastAsia="宋体" w:cs="宋体"/>
          <w:szCs w:val="24"/>
          <w:u w:val="single"/>
          <w:lang w:val="en-US" w:eastAsia="zh-CN"/>
        </w:rPr>
      </w:pPr>
      <w:r>
        <w:rPr>
          <w:rFonts w:hint="eastAsia" w:ascii="宋体" w:hAnsi="宋体" w:cs="宋体"/>
          <w:szCs w:val="24"/>
        </w:rPr>
        <w:t>身份证号码：</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p>
    <w:p>
      <w:pPr>
        <w:spacing w:line="500" w:lineRule="exact"/>
        <w:rPr>
          <w:rFonts w:hint="eastAsia" w:ascii="宋体" w:hAnsi="宋体" w:cs="宋体"/>
          <w:bCs/>
          <w:szCs w:val="24"/>
        </w:rPr>
      </w:pPr>
    </w:p>
    <w:p>
      <w:pPr>
        <w:spacing w:line="500" w:lineRule="exact"/>
        <w:rPr>
          <w:rFonts w:hint="eastAsia" w:ascii="宋体" w:hAnsi="宋体" w:cs="宋体"/>
          <w:bCs/>
          <w:szCs w:val="24"/>
        </w:rPr>
      </w:pPr>
    </w:p>
    <w:p>
      <w:pPr>
        <w:spacing w:line="500" w:lineRule="exact"/>
        <w:rPr>
          <w:rFonts w:hint="eastAsia" w:ascii="宋体" w:hAnsi="宋体" w:cs="宋体"/>
          <w:bCs/>
          <w:szCs w:val="24"/>
        </w:rPr>
      </w:pPr>
      <w:r>
        <w:rPr>
          <w:rFonts w:hint="eastAsia" w:ascii="宋体" w:hAnsi="宋体" w:cs="宋体"/>
          <w:bCs/>
          <w:szCs w:val="24"/>
        </w:rPr>
        <w:t>法定代表人身份证（复印件）</w:t>
      </w:r>
    </w:p>
    <w:p>
      <w:pPr>
        <w:adjustRightInd w:val="0"/>
        <w:snapToGrid w:val="0"/>
        <w:spacing w:line="500" w:lineRule="exact"/>
        <w:rPr>
          <w:rFonts w:hint="eastAsia" w:ascii="宋体" w:hAnsi="宋体" w:cs="宋体"/>
          <w:bCs/>
          <w:szCs w:val="24"/>
        </w:rPr>
      </w:pPr>
    </w:p>
    <w:p>
      <w:pPr>
        <w:adjustRightInd w:val="0"/>
        <w:snapToGrid w:val="0"/>
        <w:spacing w:line="500" w:lineRule="exact"/>
        <w:rPr>
          <w:rFonts w:hint="eastAsia" w:ascii="宋体" w:hAnsi="宋体" w:cs="宋体"/>
          <w:bCs/>
          <w:szCs w:val="24"/>
        </w:rPr>
      </w:pPr>
    </w:p>
    <w:p>
      <w:pPr>
        <w:adjustRightInd w:val="0"/>
        <w:snapToGrid w:val="0"/>
        <w:spacing w:line="500" w:lineRule="exact"/>
        <w:rPr>
          <w:rFonts w:hint="eastAsia" w:ascii="宋体" w:hAnsi="宋体" w:cs="宋体"/>
          <w:szCs w:val="24"/>
          <w:u w:val="single"/>
        </w:rPr>
      </w:pPr>
      <w:r>
        <w:rPr>
          <w:rFonts w:hint="eastAsia" w:ascii="宋体" w:hAnsi="宋体" w:cs="宋体"/>
          <w:bCs/>
          <w:szCs w:val="24"/>
        </w:rPr>
        <w:t>被授权代表身份证（复印件）</w:t>
      </w:r>
    </w:p>
    <w:p>
      <w:pPr>
        <w:pStyle w:val="10"/>
        <w:spacing w:before="0" w:beforeAutospacing="0" w:after="0" w:afterAutospacing="0"/>
        <w:rPr>
          <w:rFonts w:hint="eastAsia" w:cs="宋体"/>
          <w:b/>
          <w:szCs w:val="24"/>
        </w:rPr>
      </w:pPr>
    </w:p>
    <w:p>
      <w:pPr>
        <w:pStyle w:val="10"/>
        <w:spacing w:before="0" w:beforeAutospacing="0" w:after="0" w:afterAutospacing="0"/>
        <w:rPr>
          <w:rFonts w:hint="eastAsia" w:cs="宋体"/>
          <w:b/>
          <w:szCs w:val="24"/>
        </w:rPr>
      </w:pPr>
    </w:p>
    <w:p>
      <w:pPr>
        <w:pStyle w:val="10"/>
        <w:spacing w:before="0" w:beforeAutospacing="0" w:after="0" w:afterAutospacing="0"/>
        <w:rPr>
          <w:rFonts w:hint="eastAsia" w:cs="宋体"/>
          <w:b/>
          <w:szCs w:val="24"/>
        </w:rPr>
      </w:pPr>
    </w:p>
    <w:p>
      <w:pPr>
        <w:pStyle w:val="10"/>
        <w:spacing w:before="0" w:beforeAutospacing="0" w:after="0" w:afterAutospacing="0"/>
        <w:rPr>
          <w:rFonts w:hint="eastAsia" w:cs="宋体"/>
          <w:b/>
          <w:szCs w:val="24"/>
        </w:rPr>
      </w:pPr>
    </w:p>
    <w:p>
      <w:pPr>
        <w:pStyle w:val="10"/>
        <w:spacing w:before="0" w:beforeAutospacing="0" w:after="0" w:afterAutospacing="0"/>
        <w:rPr>
          <w:rFonts w:hint="eastAsia" w:ascii="宋体" w:hAnsi="宋体" w:eastAsia="宋体" w:cs="宋体"/>
          <w:bCs/>
          <w:sz w:val="28"/>
          <w:szCs w:val="28"/>
          <w:lang w:eastAsia="zh-CN"/>
        </w:rPr>
        <w:sectPr>
          <w:pgSz w:w="11906" w:h="16838"/>
          <w:pgMar w:top="1246" w:right="1286" w:bottom="1091" w:left="1620" w:header="851" w:footer="692" w:gutter="0"/>
          <w:cols w:space="720" w:num="1"/>
          <w:docGrid w:type="lines" w:linePitch="312" w:charSpace="0"/>
        </w:sectPr>
      </w:pPr>
      <w:r>
        <w:rPr>
          <w:rFonts w:hint="eastAsia" w:cs="宋体"/>
          <w:b/>
          <w:szCs w:val="24"/>
        </w:rPr>
        <w:t>注：磋商响应文件制作中提供一份原件，磋商现场须另单独携带一份法人授权书原件和身份证原件参与磋</w:t>
      </w:r>
      <w:r>
        <w:rPr>
          <w:rFonts w:hint="eastAsia" w:cs="宋体"/>
          <w:b/>
          <w:szCs w:val="24"/>
          <w:lang w:eastAsia="zh-CN"/>
        </w:rPr>
        <w:t>商</w:t>
      </w:r>
    </w:p>
    <w:p/>
    <w:sectPr>
      <w:headerReference r:id="rId5" w:type="default"/>
      <w:footerReference r:id="rId6" w:type="default"/>
      <w:pgSz w:w="11906" w:h="16838"/>
      <w:pgMar w:top="1246" w:right="1286" w:bottom="1091" w:left="1620" w:header="851" w:footer="692" w:gutter="0"/>
      <w:pgNumType w:start="2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000"/>
        <w:tab w:val="clear" w:pos="8306"/>
      </w:tabs>
      <w:ind w:right="-334" w:rightChars="-159"/>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69"/>
      <w:jc w:val="center"/>
      <w:rPr>
        <w:sz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000"/>
        <w:tab w:val="clear" w:pos="8306"/>
      </w:tabs>
      <w:ind w:right="-178" w:rightChars="-85"/>
      <w:jc w:val="right"/>
      <w:rPr>
        <w:rFonts w:ascii="宋体" w:hAnsi="宋体"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000"/>
        <w:tab w:val="clear" w:pos="8306"/>
      </w:tabs>
      <w:ind w:right="-178" w:rightChars="-85"/>
      <w:jc w:val="right"/>
      <w:rPr>
        <w:rFonts w:ascii="宋体" w:hAnsi="宋体"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47973"/>
    <w:multiLevelType w:val="singleLevel"/>
    <w:tmpl w:val="94D47973"/>
    <w:lvl w:ilvl="0" w:tentative="0">
      <w:start w:val="1"/>
      <w:numFmt w:val="decimal"/>
      <w:suff w:val="nothing"/>
      <w:lvlText w:val="%1、"/>
      <w:lvlJc w:val="left"/>
    </w:lvl>
  </w:abstractNum>
  <w:abstractNum w:abstractNumId="1">
    <w:nsid w:val="B878A29D"/>
    <w:multiLevelType w:val="singleLevel"/>
    <w:tmpl w:val="B878A29D"/>
    <w:lvl w:ilvl="0" w:tentative="0">
      <w:start w:val="6"/>
      <w:numFmt w:val="decimal"/>
      <w:suff w:val="nothing"/>
      <w:lvlText w:val="%1、"/>
      <w:lvlJc w:val="left"/>
    </w:lvl>
  </w:abstractNum>
  <w:abstractNum w:abstractNumId="2">
    <w:nsid w:val="00000017"/>
    <w:multiLevelType w:val="singleLevel"/>
    <w:tmpl w:val="00000017"/>
    <w:lvl w:ilvl="0" w:tentative="0">
      <w:start w:val="1"/>
      <w:numFmt w:val="decimal"/>
      <w:suff w:val="nothing"/>
      <w:lvlText w:val="%1、"/>
      <w:lvlJc w:val="left"/>
    </w:lvl>
  </w:abstractNum>
  <w:abstractNum w:abstractNumId="3">
    <w:nsid w:val="22D913E6"/>
    <w:multiLevelType w:val="multilevel"/>
    <w:tmpl w:val="22D913E6"/>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460"/>
        </w:tabs>
        <w:ind w:left="5460" w:hanging="360"/>
      </w:pPr>
      <w:rPr>
        <w:rFonts w:hint="default"/>
      </w:rPr>
    </w:lvl>
    <w:lvl w:ilvl="8" w:tentative="0">
      <w:start w:val="1"/>
      <w:numFmt w:val="lowerRoman"/>
      <w:lvlText w:val="%9."/>
      <w:lvlJc w:val="right"/>
      <w:pPr>
        <w:tabs>
          <w:tab w:val="left" w:pos="5940"/>
        </w:tabs>
        <w:ind w:left="5940" w:hanging="420"/>
      </w:pPr>
    </w:lvl>
  </w:abstractNum>
  <w:abstractNum w:abstractNumId="4">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5">
    <w:nsid w:val="7B951004"/>
    <w:multiLevelType w:val="singleLevel"/>
    <w:tmpl w:val="7B951004"/>
    <w:lvl w:ilvl="0" w:tentative="0">
      <w:start w:val="1"/>
      <w:numFmt w:val="decimal"/>
      <w:suff w:val="nothing"/>
      <w:lvlText w:val="%1、"/>
      <w:lvlJc w:val="left"/>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74DA"/>
    <w:rsid w:val="00005F2B"/>
    <w:rsid w:val="000067FD"/>
    <w:rsid w:val="000161E2"/>
    <w:rsid w:val="00026F9E"/>
    <w:rsid w:val="00027E0E"/>
    <w:rsid w:val="00035F5F"/>
    <w:rsid w:val="000726F9"/>
    <w:rsid w:val="000926DD"/>
    <w:rsid w:val="000A19DD"/>
    <w:rsid w:val="000B4F7F"/>
    <w:rsid w:val="000F760A"/>
    <w:rsid w:val="00110A0C"/>
    <w:rsid w:val="001121D7"/>
    <w:rsid w:val="00117A40"/>
    <w:rsid w:val="00132C3F"/>
    <w:rsid w:val="00140C9F"/>
    <w:rsid w:val="00152F58"/>
    <w:rsid w:val="001537F2"/>
    <w:rsid w:val="00176D91"/>
    <w:rsid w:val="00183A27"/>
    <w:rsid w:val="001A4936"/>
    <w:rsid w:val="001B05C1"/>
    <w:rsid w:val="001B71B0"/>
    <w:rsid w:val="001C7F3A"/>
    <w:rsid w:val="001E61ED"/>
    <w:rsid w:val="001F1155"/>
    <w:rsid w:val="00211A40"/>
    <w:rsid w:val="00214A1E"/>
    <w:rsid w:val="00250567"/>
    <w:rsid w:val="0025716E"/>
    <w:rsid w:val="00285FD0"/>
    <w:rsid w:val="00295CD3"/>
    <w:rsid w:val="002B74C5"/>
    <w:rsid w:val="002C00D0"/>
    <w:rsid w:val="002C5FA4"/>
    <w:rsid w:val="002D74DA"/>
    <w:rsid w:val="002E1932"/>
    <w:rsid w:val="00357791"/>
    <w:rsid w:val="00366E7C"/>
    <w:rsid w:val="00374306"/>
    <w:rsid w:val="00386994"/>
    <w:rsid w:val="003D33E1"/>
    <w:rsid w:val="003E0C3A"/>
    <w:rsid w:val="003E49B0"/>
    <w:rsid w:val="003F2A91"/>
    <w:rsid w:val="0042201F"/>
    <w:rsid w:val="0042257B"/>
    <w:rsid w:val="004418BF"/>
    <w:rsid w:val="00455ED5"/>
    <w:rsid w:val="0046230D"/>
    <w:rsid w:val="00466496"/>
    <w:rsid w:val="00495C9E"/>
    <w:rsid w:val="004A74EE"/>
    <w:rsid w:val="00503ABE"/>
    <w:rsid w:val="00504620"/>
    <w:rsid w:val="00514459"/>
    <w:rsid w:val="00532663"/>
    <w:rsid w:val="0053482E"/>
    <w:rsid w:val="00545D1F"/>
    <w:rsid w:val="005732E3"/>
    <w:rsid w:val="005848B0"/>
    <w:rsid w:val="005C2CF9"/>
    <w:rsid w:val="005E16A2"/>
    <w:rsid w:val="0061185C"/>
    <w:rsid w:val="00630B89"/>
    <w:rsid w:val="006335DC"/>
    <w:rsid w:val="00636BB7"/>
    <w:rsid w:val="00636F81"/>
    <w:rsid w:val="00690E30"/>
    <w:rsid w:val="00695F7D"/>
    <w:rsid w:val="006A039E"/>
    <w:rsid w:val="006A706E"/>
    <w:rsid w:val="006C2300"/>
    <w:rsid w:val="006F620D"/>
    <w:rsid w:val="0070185A"/>
    <w:rsid w:val="0072070B"/>
    <w:rsid w:val="007A2035"/>
    <w:rsid w:val="007A34D3"/>
    <w:rsid w:val="007B12EB"/>
    <w:rsid w:val="007B347B"/>
    <w:rsid w:val="0085706A"/>
    <w:rsid w:val="0088292A"/>
    <w:rsid w:val="008829A1"/>
    <w:rsid w:val="0088363B"/>
    <w:rsid w:val="008A19C8"/>
    <w:rsid w:val="008A394B"/>
    <w:rsid w:val="008A5732"/>
    <w:rsid w:val="008D27C2"/>
    <w:rsid w:val="00902100"/>
    <w:rsid w:val="009543B1"/>
    <w:rsid w:val="009711F6"/>
    <w:rsid w:val="00980411"/>
    <w:rsid w:val="009F3C84"/>
    <w:rsid w:val="00A10DF5"/>
    <w:rsid w:val="00A15FAB"/>
    <w:rsid w:val="00A25A34"/>
    <w:rsid w:val="00A707D6"/>
    <w:rsid w:val="00A85271"/>
    <w:rsid w:val="00A8662E"/>
    <w:rsid w:val="00AB298D"/>
    <w:rsid w:val="00AC5D5C"/>
    <w:rsid w:val="00B10A9F"/>
    <w:rsid w:val="00B44408"/>
    <w:rsid w:val="00B560B7"/>
    <w:rsid w:val="00BD26E5"/>
    <w:rsid w:val="00BD647F"/>
    <w:rsid w:val="00BE0934"/>
    <w:rsid w:val="00BF5425"/>
    <w:rsid w:val="00C02AFD"/>
    <w:rsid w:val="00C36B24"/>
    <w:rsid w:val="00C57E3B"/>
    <w:rsid w:val="00C60FCB"/>
    <w:rsid w:val="00C874E4"/>
    <w:rsid w:val="00CE1793"/>
    <w:rsid w:val="00D0346D"/>
    <w:rsid w:val="00D04E55"/>
    <w:rsid w:val="00D1454D"/>
    <w:rsid w:val="00D74CC2"/>
    <w:rsid w:val="00D814C3"/>
    <w:rsid w:val="00D85040"/>
    <w:rsid w:val="00D93132"/>
    <w:rsid w:val="00DA4734"/>
    <w:rsid w:val="00DD0872"/>
    <w:rsid w:val="00DD24CD"/>
    <w:rsid w:val="00DE44D7"/>
    <w:rsid w:val="00DF1662"/>
    <w:rsid w:val="00E955F5"/>
    <w:rsid w:val="00EE3B73"/>
    <w:rsid w:val="00EE418C"/>
    <w:rsid w:val="00EE43C6"/>
    <w:rsid w:val="00F17B33"/>
    <w:rsid w:val="00F20213"/>
    <w:rsid w:val="00F57007"/>
    <w:rsid w:val="00F97426"/>
    <w:rsid w:val="00FC2A7B"/>
    <w:rsid w:val="00FE3613"/>
    <w:rsid w:val="01F870B5"/>
    <w:rsid w:val="04550258"/>
    <w:rsid w:val="06BE0864"/>
    <w:rsid w:val="0762589B"/>
    <w:rsid w:val="0876457E"/>
    <w:rsid w:val="0FDB5204"/>
    <w:rsid w:val="0FFD1525"/>
    <w:rsid w:val="151170EE"/>
    <w:rsid w:val="164E3296"/>
    <w:rsid w:val="17891514"/>
    <w:rsid w:val="181D058E"/>
    <w:rsid w:val="18D655C1"/>
    <w:rsid w:val="19B5718D"/>
    <w:rsid w:val="19FF13F9"/>
    <w:rsid w:val="1C5E3C65"/>
    <w:rsid w:val="1DD75E51"/>
    <w:rsid w:val="23887652"/>
    <w:rsid w:val="24D229FA"/>
    <w:rsid w:val="27E31D18"/>
    <w:rsid w:val="29206C33"/>
    <w:rsid w:val="29B528D3"/>
    <w:rsid w:val="29E32F07"/>
    <w:rsid w:val="2B90449D"/>
    <w:rsid w:val="2E7B5E33"/>
    <w:rsid w:val="315E3248"/>
    <w:rsid w:val="32791E67"/>
    <w:rsid w:val="32AB65C9"/>
    <w:rsid w:val="34771EDC"/>
    <w:rsid w:val="349156AF"/>
    <w:rsid w:val="36BD013F"/>
    <w:rsid w:val="41112BE5"/>
    <w:rsid w:val="42632234"/>
    <w:rsid w:val="43927C81"/>
    <w:rsid w:val="444F1683"/>
    <w:rsid w:val="445760DF"/>
    <w:rsid w:val="44AC4AE9"/>
    <w:rsid w:val="45940BE3"/>
    <w:rsid w:val="4B8B1E15"/>
    <w:rsid w:val="4F865F47"/>
    <w:rsid w:val="54B24A6E"/>
    <w:rsid w:val="58EE244C"/>
    <w:rsid w:val="594462D9"/>
    <w:rsid w:val="5A1C2BC8"/>
    <w:rsid w:val="5C1C7E73"/>
    <w:rsid w:val="5C3513D7"/>
    <w:rsid w:val="5FF52A94"/>
    <w:rsid w:val="60EB55DA"/>
    <w:rsid w:val="61BE3442"/>
    <w:rsid w:val="666979DA"/>
    <w:rsid w:val="68442A0A"/>
    <w:rsid w:val="692D1312"/>
    <w:rsid w:val="69EE499A"/>
    <w:rsid w:val="6BBC104F"/>
    <w:rsid w:val="6E6E3EF2"/>
    <w:rsid w:val="6FFD4587"/>
    <w:rsid w:val="73EB54D8"/>
    <w:rsid w:val="750E5531"/>
    <w:rsid w:val="764F0B5A"/>
    <w:rsid w:val="76994FB4"/>
    <w:rsid w:val="77662248"/>
    <w:rsid w:val="7904676D"/>
    <w:rsid w:val="7B40238E"/>
    <w:rsid w:val="7D7F614E"/>
    <w:rsid w:val="7FAE6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color w:val="0000FF"/>
      <w:sz w:val="24"/>
    </w:rPr>
  </w:style>
  <w:style w:type="paragraph" w:styleId="4">
    <w:name w:val="Body Text Indent"/>
    <w:basedOn w:val="1"/>
    <w:next w:val="5"/>
    <w:link w:val="19"/>
    <w:semiHidden/>
    <w:unhideWhenUsed/>
    <w:qFormat/>
    <w:uiPriority w:val="99"/>
    <w:pPr>
      <w:spacing w:after="120"/>
      <w:ind w:left="420" w:leftChars="200"/>
    </w:pPr>
  </w:style>
  <w:style w:type="paragraph" w:styleId="5">
    <w:name w:val="Body Text First Indent 2"/>
    <w:basedOn w:val="4"/>
    <w:link w:val="20"/>
    <w:qFormat/>
    <w:uiPriority w:val="0"/>
    <w:pPr>
      <w:tabs>
        <w:tab w:val="left" w:pos="720"/>
      </w:tabs>
      <w:ind w:firstLine="420" w:firstLineChars="200"/>
    </w:pPr>
    <w:rPr>
      <w:rFonts w:ascii="宋体" w:hAnsi="宋体"/>
      <w:color w:val="000000"/>
    </w:rPr>
  </w:style>
  <w:style w:type="paragraph" w:styleId="6">
    <w:name w:val="Plain Text"/>
    <w:basedOn w:val="1"/>
    <w:link w:val="18"/>
    <w:qFormat/>
    <w:uiPriority w:val="99"/>
    <w:rPr>
      <w:rFonts w:ascii="宋体" w:hAnsi="Courier New" w:cstheme="minorBidi"/>
      <w:szCs w:val="22"/>
    </w:rPr>
  </w:style>
  <w:style w:type="paragraph" w:styleId="7">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next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Subtitle"/>
    <w:basedOn w:val="1"/>
    <w:next w:val="1"/>
    <w:link w:val="16"/>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Title"/>
    <w:basedOn w:val="1"/>
    <w:next w:val="1"/>
    <w:link w:val="17"/>
    <w:qFormat/>
    <w:uiPriority w:val="0"/>
    <w:pPr>
      <w:spacing w:before="240" w:after="60"/>
      <w:jc w:val="center"/>
      <w:outlineLvl w:val="0"/>
    </w:pPr>
    <w:rPr>
      <w:rFonts w:ascii="Cambria" w:hAnsi="Cambria" w:eastAsiaTheme="minorEastAsia"/>
      <w:b/>
      <w:bCs/>
      <w:sz w:val="32"/>
      <w:szCs w:val="32"/>
    </w:rPr>
  </w:style>
  <w:style w:type="character" w:customStyle="1" w:styleId="14">
    <w:name w:val="页眉 字符"/>
    <w:basedOn w:val="13"/>
    <w:link w:val="8"/>
    <w:qFormat/>
    <w:uiPriority w:val="0"/>
    <w:rPr>
      <w:sz w:val="18"/>
      <w:szCs w:val="18"/>
    </w:rPr>
  </w:style>
  <w:style w:type="character" w:customStyle="1" w:styleId="15">
    <w:name w:val="页脚 字符"/>
    <w:basedOn w:val="13"/>
    <w:link w:val="7"/>
    <w:qFormat/>
    <w:uiPriority w:val="0"/>
    <w:rPr>
      <w:sz w:val="18"/>
      <w:szCs w:val="18"/>
    </w:rPr>
  </w:style>
  <w:style w:type="character" w:customStyle="1" w:styleId="16">
    <w:name w:val="副标题 字符"/>
    <w:link w:val="9"/>
    <w:qFormat/>
    <w:uiPriority w:val="0"/>
    <w:rPr>
      <w:rFonts w:ascii="Cambria" w:hAnsi="Cambria" w:cs="Times New Roman"/>
      <w:b/>
      <w:bCs/>
      <w:kern w:val="28"/>
      <w:sz w:val="32"/>
      <w:szCs w:val="32"/>
    </w:rPr>
  </w:style>
  <w:style w:type="character" w:customStyle="1" w:styleId="17">
    <w:name w:val="标题 字符"/>
    <w:link w:val="11"/>
    <w:qFormat/>
    <w:uiPriority w:val="0"/>
    <w:rPr>
      <w:rFonts w:ascii="Cambria" w:hAnsi="Cambria" w:cs="Times New Roman"/>
      <w:b/>
      <w:bCs/>
      <w:sz w:val="32"/>
      <w:szCs w:val="32"/>
    </w:rPr>
  </w:style>
  <w:style w:type="character" w:customStyle="1" w:styleId="18">
    <w:name w:val="纯文本 字符"/>
    <w:link w:val="6"/>
    <w:qFormat/>
    <w:locked/>
    <w:uiPriority w:val="99"/>
    <w:rPr>
      <w:rFonts w:ascii="宋体" w:hAnsi="Courier New" w:eastAsia="宋体"/>
    </w:rPr>
  </w:style>
  <w:style w:type="character" w:customStyle="1" w:styleId="19">
    <w:name w:val="正文文本缩进 字符"/>
    <w:basedOn w:val="13"/>
    <w:link w:val="4"/>
    <w:semiHidden/>
    <w:qFormat/>
    <w:uiPriority w:val="99"/>
    <w:rPr>
      <w:rFonts w:ascii="Times New Roman" w:hAnsi="Times New Roman" w:eastAsia="宋体" w:cs="Times New Roman"/>
      <w:szCs w:val="20"/>
    </w:rPr>
  </w:style>
  <w:style w:type="character" w:customStyle="1" w:styleId="20">
    <w:name w:val="正文文本首行缩进 2 字符"/>
    <w:basedOn w:val="19"/>
    <w:link w:val="5"/>
    <w:qFormat/>
    <w:uiPriority w:val="0"/>
    <w:rPr>
      <w:rFonts w:ascii="宋体" w:hAnsi="宋体" w:eastAsia="宋体" w:cs="Times New Roman"/>
      <w:color w:val="000000"/>
      <w:szCs w:val="20"/>
    </w:rPr>
  </w:style>
  <w:style w:type="character" w:customStyle="1" w:styleId="21">
    <w:name w:val="副标题 字符1"/>
    <w:basedOn w:val="13"/>
    <w:qFormat/>
    <w:uiPriority w:val="11"/>
    <w:rPr>
      <w:b/>
      <w:bCs/>
      <w:kern w:val="28"/>
      <w:sz w:val="32"/>
      <w:szCs w:val="32"/>
    </w:rPr>
  </w:style>
  <w:style w:type="character" w:customStyle="1" w:styleId="22">
    <w:name w:val="标题 字符1"/>
    <w:basedOn w:val="13"/>
    <w:qFormat/>
    <w:uiPriority w:val="10"/>
    <w:rPr>
      <w:rFonts w:asciiTheme="majorHAnsi" w:hAnsiTheme="majorHAnsi" w:eastAsiaTheme="majorEastAsia" w:cstheme="majorBidi"/>
      <w:b/>
      <w:bCs/>
      <w:sz w:val="32"/>
      <w:szCs w:val="32"/>
    </w:rPr>
  </w:style>
  <w:style w:type="character" w:customStyle="1" w:styleId="23">
    <w:name w:val="纯文本 字符1"/>
    <w:basedOn w:val="13"/>
    <w:semiHidden/>
    <w:qFormat/>
    <w:uiPriority w:val="99"/>
    <w:rPr>
      <w:rFonts w:hAnsi="Courier New" w:cs="Courier New" w:asciiTheme="minorEastAsia"/>
      <w:szCs w:val="20"/>
    </w:rPr>
  </w:style>
  <w:style w:type="character" w:customStyle="1" w:styleId="24">
    <w:name w:val="标题 1 字符"/>
    <w:basedOn w:val="13"/>
    <w:link w:val="3"/>
    <w:qFormat/>
    <w:uiPriority w:val="9"/>
    <w:rPr>
      <w:rFonts w:ascii="Times New Roman" w:hAnsi="Times New Roman" w:eastAsia="宋体" w:cs="Times New Roman"/>
      <w:b/>
      <w:bCs/>
      <w:kern w:val="44"/>
      <w:sz w:val="44"/>
      <w:szCs w:val="44"/>
    </w:rPr>
  </w:style>
  <w:style w:type="paragraph" w:customStyle="1" w:styleId="25">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p0"/>
    <w:basedOn w:val="1"/>
    <w:qFormat/>
    <w:uiPriority w:val="0"/>
    <w:pPr>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985</Words>
  <Characters>5619</Characters>
  <Lines>46</Lines>
  <Paragraphs>13</Paragraphs>
  <TotalTime>15</TotalTime>
  <ScaleCrop>false</ScaleCrop>
  <LinksUpToDate>false</LinksUpToDate>
  <CharactersWithSpaces>6591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2020-06-16T07:01:00Z</dcterms:created>
  <dc:creator>yizhou wang</dc:creator>
  <cp:lastModifiedBy>李亮</cp:lastModifiedBy>
  <dcterms:modified xsi:type="dcterms:W3CDTF">2021-12-08T07:38:51Z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